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drawings/drawing7.xml" ContentType="application/vnd.openxmlformats-officedocument.drawingml.chartshapes+xml"/>
  <Override PartName="/word/charts/chart11.xml" ContentType="application/vnd.openxmlformats-officedocument.drawingml.chart+xml"/>
  <Override PartName="/word/drawings/drawing8.xml" ContentType="application/vnd.openxmlformats-officedocument.drawingml.chartshapes+xml"/>
  <Override PartName="/word/charts/chart12.xml" ContentType="application/vnd.openxmlformats-officedocument.drawingml.chart+xml"/>
  <Override PartName="/word/drawings/drawing9.xml" ContentType="application/vnd.openxmlformats-officedocument.drawingml.chartshapes+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39" w:rsidRPr="00A17A39" w:rsidRDefault="00A17A39" w:rsidP="00A17A39">
      <w:pPr>
        <w:spacing w:line="240" w:lineRule="auto"/>
        <w:ind w:right="-144"/>
        <w:jc w:val="center"/>
        <w:rPr>
          <w:rFonts w:ascii="Cambria" w:hAnsi="Cambria" w:cs="Tunga"/>
          <w:b/>
          <w:sz w:val="28"/>
          <w:szCs w:val="28"/>
        </w:rPr>
      </w:pPr>
      <w:r w:rsidRPr="00A17A39">
        <w:rPr>
          <w:rFonts w:ascii="Cambria" w:hAnsi="Cambria" w:cs="Tunga"/>
          <w:b/>
          <w:sz w:val="28"/>
          <w:szCs w:val="28"/>
        </w:rPr>
        <w:t>RELAZIONE SULLA COPERTURA FINANZIARIA DEGLI INVESTIMENTI</w:t>
      </w:r>
    </w:p>
    <w:p w:rsidR="005241E6" w:rsidRDefault="005241E6"/>
    <w:p w:rsidR="00A17A39" w:rsidRDefault="00A17A39" w:rsidP="00A17A3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3571CD">
        <w:rPr>
          <w:rFonts w:ascii="Times New Roman" w:hAnsi="Times New Roman"/>
          <w:color w:val="000000"/>
        </w:rPr>
        <w:t>L’art. 7 del Nuovo regolamento di contabilità così recita</w:t>
      </w:r>
      <w:r>
        <w:rPr>
          <w:rFonts w:ascii="Times New Roman" w:hAnsi="Times New Roman"/>
          <w:color w:val="000000"/>
        </w:rPr>
        <w:t>:</w:t>
      </w:r>
    </w:p>
    <w:p w:rsidR="00A17A39" w:rsidRDefault="00A17A39" w:rsidP="00A17A39">
      <w:pPr>
        <w:autoSpaceDE w:val="0"/>
        <w:autoSpaceDN w:val="0"/>
        <w:adjustRightInd w:val="0"/>
        <w:spacing w:after="0" w:line="240" w:lineRule="auto"/>
        <w:jc w:val="both"/>
        <w:rPr>
          <w:rFonts w:ascii="Times New Roman" w:hAnsi="Times New Roman"/>
          <w:color w:val="000000"/>
        </w:rPr>
      </w:pPr>
      <w:r w:rsidRPr="003571CD">
        <w:rPr>
          <w:rFonts w:ascii="Times New Roman" w:hAnsi="Times New Roman"/>
          <w:color w:val="000000"/>
        </w:rPr>
        <w:t xml:space="preserve"> “</w:t>
      </w:r>
      <w:r w:rsidRPr="003571CD">
        <w:rPr>
          <w:rFonts w:ascii="Times New Roman" w:hAnsi="Times New Roman"/>
          <w:i/>
          <w:iCs/>
          <w:color w:val="000000"/>
        </w:rPr>
        <w:t>La relazione al preventivo, predisposta dalla giunta, reca informazioni sugli importi contenuti nelle voci di provento, di onere e del piano degli investimenti di cui all’allegato A (...). La relazione evidenzia le fonti di copertura degli investimenti di cui all’allegato A e l’eventuale assunzione di mutui.</w:t>
      </w:r>
      <w:r w:rsidRPr="003571CD">
        <w:rPr>
          <w:rFonts w:ascii="Times New Roman" w:hAnsi="Times New Roman"/>
          <w:color w:val="000000"/>
        </w:rPr>
        <w:t>”</w:t>
      </w: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3571CD">
        <w:rPr>
          <w:rFonts w:ascii="Times New Roman" w:hAnsi="Times New Roman"/>
          <w:color w:val="000000"/>
        </w:rPr>
        <w:t xml:space="preserve">Il dettato regolamentare relativo all’articolo di cui sopra, implica che le scelte riguardanti gli investimenti siano supportate da opportune valutazioni in merito alla capacità della Camera </w:t>
      </w:r>
      <w:r>
        <w:rPr>
          <w:rFonts w:ascii="Times New Roman" w:hAnsi="Times New Roman"/>
          <w:color w:val="000000"/>
        </w:rPr>
        <w:t xml:space="preserve">di garantire la copertura degli </w:t>
      </w:r>
      <w:r w:rsidRPr="003571CD">
        <w:rPr>
          <w:rFonts w:ascii="Times New Roman" w:hAnsi="Times New Roman"/>
          <w:color w:val="000000"/>
        </w:rPr>
        <w:t>stessi tramite l’utilizzo di fonti interne (disinvestimento di una parte dell’attivo immobilizzato o “cash flow operativo” generato dalla gestione corrente) o ricorrendo al mercato del credito (mutui) verificando, in questo caso, l’entità degli oneri finanziari da far gravare nei conti economici d’esercizio, per tutta la durata dell’indebitamento.</w:t>
      </w: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3571CD">
        <w:rPr>
          <w:rFonts w:ascii="Times New Roman" w:hAnsi="Times New Roman"/>
          <w:color w:val="000000"/>
        </w:rPr>
        <w:t>Di seguito viene illustrata la determinazione del margine di struttura e del cash-flow a copertura degli investimenti.</w:t>
      </w:r>
    </w:p>
    <w:p w:rsidR="00A17A39" w:rsidRDefault="00A17A39"/>
    <w:tbl>
      <w:tblPr>
        <w:tblW w:w="5000" w:type="pct"/>
        <w:tblCellMar>
          <w:left w:w="70" w:type="dxa"/>
          <w:right w:w="70" w:type="dxa"/>
        </w:tblCellMar>
        <w:tblLook w:val="04A0" w:firstRow="1" w:lastRow="0" w:firstColumn="1" w:lastColumn="0" w:noHBand="0" w:noVBand="1"/>
      </w:tblPr>
      <w:tblGrid>
        <w:gridCol w:w="541"/>
        <w:gridCol w:w="3335"/>
        <w:gridCol w:w="848"/>
        <w:gridCol w:w="848"/>
        <w:gridCol w:w="814"/>
        <w:gridCol w:w="848"/>
        <w:gridCol w:w="848"/>
        <w:gridCol w:w="848"/>
        <w:gridCol w:w="848"/>
      </w:tblGrid>
      <w:tr w:rsidR="00572C9C" w:rsidRPr="00572C9C" w:rsidTr="00572C9C">
        <w:trPr>
          <w:trHeight w:val="660"/>
        </w:trPr>
        <w:tc>
          <w:tcPr>
            <w:tcW w:w="5000" w:type="pct"/>
            <w:gridSpan w:val="9"/>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572C9C" w:rsidRPr="00572C9C" w:rsidRDefault="00572C9C" w:rsidP="00572C9C">
            <w:pPr>
              <w:spacing w:after="0" w:line="240" w:lineRule="auto"/>
              <w:jc w:val="center"/>
              <w:rPr>
                <w:rFonts w:ascii="Arial" w:eastAsia="Times New Roman" w:hAnsi="Arial" w:cs="Arial"/>
                <w:sz w:val="12"/>
                <w:szCs w:val="12"/>
                <w:lang w:eastAsia="it-IT"/>
              </w:rPr>
            </w:pPr>
            <w:r w:rsidRPr="00572C9C">
              <w:rPr>
                <w:rFonts w:ascii="Arial" w:eastAsia="Times New Roman" w:hAnsi="Arial" w:cs="Arial"/>
                <w:sz w:val="12"/>
                <w:szCs w:val="12"/>
                <w:lang w:eastAsia="it-IT"/>
              </w:rPr>
              <w:t>MARGINE DI STRUTTURA -  PREVENTIVO 2014</w:t>
            </w:r>
          </w:p>
        </w:tc>
      </w:tr>
      <w:tr w:rsidR="00572C9C" w:rsidRPr="00572C9C" w:rsidTr="00572C9C">
        <w:trPr>
          <w:trHeight w:val="825"/>
        </w:trPr>
        <w:tc>
          <w:tcPr>
            <w:tcW w:w="2043" w:type="pct"/>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72C9C" w:rsidRPr="00572C9C" w:rsidRDefault="00572C9C" w:rsidP="00572C9C">
            <w:pPr>
              <w:spacing w:after="0" w:line="240" w:lineRule="auto"/>
              <w:jc w:val="center"/>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15"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396"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single" w:sz="8" w:space="0" w:color="auto"/>
              <w:right w:val="single" w:sz="8" w:space="0" w:color="auto"/>
            </w:tcBorders>
            <w:shd w:val="clear" w:color="000000" w:fill="DBE5F1"/>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single" w:sz="8" w:space="0" w:color="auto"/>
              <w:right w:val="single" w:sz="8" w:space="0" w:color="auto"/>
            </w:tcBorders>
            <w:shd w:val="clear" w:color="000000" w:fill="DBE5F1"/>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single" w:sz="8" w:space="0" w:color="auto"/>
              <w:right w:val="single" w:sz="8" w:space="0" w:color="auto"/>
            </w:tcBorders>
            <w:shd w:val="clear" w:color="000000" w:fill="DBE5F1"/>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Pre-consuntivo</w:t>
            </w:r>
          </w:p>
        </w:tc>
        <w:tc>
          <w:tcPr>
            <w:tcW w:w="433" w:type="pct"/>
            <w:tcBorders>
              <w:top w:val="nil"/>
              <w:left w:val="nil"/>
              <w:bottom w:val="single" w:sz="8" w:space="0" w:color="auto"/>
              <w:right w:val="single" w:sz="8" w:space="0" w:color="auto"/>
            </w:tcBorders>
            <w:shd w:val="clear" w:color="000000" w:fill="DBE5F1"/>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preventivo</w:t>
            </w:r>
          </w:p>
        </w:tc>
      </w:tr>
      <w:tr w:rsidR="00572C9C" w:rsidRPr="00572C9C" w:rsidTr="00572C9C">
        <w:trPr>
          <w:trHeight w:val="420"/>
        </w:trPr>
        <w:tc>
          <w:tcPr>
            <w:tcW w:w="2043" w:type="pct"/>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72C9C" w:rsidRPr="00572C9C" w:rsidRDefault="00572C9C" w:rsidP="00572C9C">
            <w:pPr>
              <w:spacing w:after="0" w:line="240" w:lineRule="auto"/>
              <w:jc w:val="center"/>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2008</w:t>
            </w:r>
          </w:p>
        </w:tc>
        <w:tc>
          <w:tcPr>
            <w:tcW w:w="415"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2009</w:t>
            </w:r>
          </w:p>
        </w:tc>
        <w:tc>
          <w:tcPr>
            <w:tcW w:w="396"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2010</w:t>
            </w:r>
          </w:p>
        </w:tc>
        <w:tc>
          <w:tcPr>
            <w:tcW w:w="433"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2011</w:t>
            </w:r>
          </w:p>
        </w:tc>
        <w:tc>
          <w:tcPr>
            <w:tcW w:w="433"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2012</w:t>
            </w:r>
          </w:p>
        </w:tc>
        <w:tc>
          <w:tcPr>
            <w:tcW w:w="433"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2013</w:t>
            </w:r>
          </w:p>
        </w:tc>
        <w:tc>
          <w:tcPr>
            <w:tcW w:w="433" w:type="pct"/>
            <w:tcBorders>
              <w:top w:val="nil"/>
              <w:left w:val="nil"/>
              <w:bottom w:val="single" w:sz="8" w:space="0" w:color="auto"/>
              <w:right w:val="single" w:sz="8" w:space="0" w:color="auto"/>
            </w:tcBorders>
            <w:shd w:val="clear" w:color="000000" w:fill="DBE5F1"/>
            <w:noWrap/>
            <w:vAlign w:val="center"/>
            <w:hideMark/>
          </w:tcPr>
          <w:p w:rsidR="00572C9C" w:rsidRPr="00572C9C" w:rsidRDefault="00572C9C" w:rsidP="00572C9C">
            <w:pPr>
              <w:spacing w:after="0" w:line="240" w:lineRule="auto"/>
              <w:jc w:val="center"/>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2014</w:t>
            </w:r>
          </w:p>
        </w:tc>
      </w:tr>
      <w:tr w:rsidR="00572C9C" w:rsidRPr="00572C9C" w:rsidTr="00572C9C">
        <w:trPr>
          <w:trHeight w:val="300"/>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Immobilizzazioni immateriali nette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110000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Software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15.293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180.799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98.957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15.538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11.493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6.582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33.597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single" w:sz="8"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15.293 </w:t>
            </w:r>
          </w:p>
        </w:tc>
        <w:tc>
          <w:tcPr>
            <w:tcW w:w="415"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180.799 </w:t>
            </w:r>
          </w:p>
        </w:tc>
        <w:tc>
          <w:tcPr>
            <w:tcW w:w="396"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98.957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15.538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11.493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6.582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33.597 </w:t>
            </w:r>
          </w:p>
        </w:tc>
      </w:tr>
      <w:tr w:rsidR="00572C9C" w:rsidRPr="00572C9C" w:rsidTr="00572C9C">
        <w:trPr>
          <w:trHeight w:val="300"/>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Immobilizzazioni materiali nette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111008</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proofErr w:type="spellStart"/>
            <w:r w:rsidRPr="00572C9C">
              <w:rPr>
                <w:rFonts w:ascii="Arial" w:eastAsia="Times New Roman" w:hAnsi="Arial" w:cs="Arial"/>
                <w:sz w:val="12"/>
                <w:szCs w:val="12"/>
                <w:lang w:eastAsia="it-IT"/>
              </w:rPr>
              <w:t>Immobiliz</w:t>
            </w:r>
            <w:proofErr w:type="spellEnd"/>
            <w:r w:rsidRPr="00572C9C">
              <w:rPr>
                <w:rFonts w:ascii="Arial" w:eastAsia="Times New Roman" w:hAnsi="Arial" w:cs="Arial"/>
                <w:sz w:val="12"/>
                <w:szCs w:val="12"/>
                <w:lang w:eastAsia="it-IT"/>
              </w:rPr>
              <w:t>. In corso ed acconti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1.400.000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1.400.000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1.400.000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1.400.000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1.400.000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1.400.000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111010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Immobile Sede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22.737.652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22.767.346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23.563.472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23.958.439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24.046.599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24.132.839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25.688.839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111011</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Immobile Sede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8.759.104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9.442.124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- 10.149.028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10.867.781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11.589.179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12.313.164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13.060.490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111012</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Immobile Borsa Merci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13.894.777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15.282.510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15.840.080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15.840.080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15.859.202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15.995.473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16.153.473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111013</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Immobile Borsa Merci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5.669.698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6.128.173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6.603.375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7.078.578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7.554.354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8.024.218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8.506.452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111014</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Immobile Centro Direzionale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11.909.065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11.921.859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11.935.917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11.935.917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11.935.917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12.038.279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12.218.279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111015</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Immobile Centro Direzionale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5.519.303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5.876.959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6.235.037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6.593.115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6.951.192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7.312.340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7.676.188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111100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Impianti generici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14.492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14.492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14.492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27.025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27.025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27.025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27.025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111103</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impianti generici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5.726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7.900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10.074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14.128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17.722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21.316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21.322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Macchine ordinarie d'ufficio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803.235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796.371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787.908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780.129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780.129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787.588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822.588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111203</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macchine ordinarie d'ufficio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792.811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789.808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785.206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779.949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780.115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781.024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784.124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111216</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proofErr w:type="spellStart"/>
            <w:r w:rsidRPr="00572C9C">
              <w:rPr>
                <w:rFonts w:ascii="Arial" w:eastAsia="Times New Roman" w:hAnsi="Arial" w:cs="Arial"/>
                <w:sz w:val="12"/>
                <w:szCs w:val="12"/>
                <w:lang w:eastAsia="it-IT"/>
              </w:rPr>
              <w:t>Macch</w:t>
            </w:r>
            <w:proofErr w:type="spellEnd"/>
            <w:r w:rsidRPr="00572C9C">
              <w:rPr>
                <w:rFonts w:ascii="Arial" w:eastAsia="Times New Roman" w:hAnsi="Arial" w:cs="Arial"/>
                <w:sz w:val="12"/>
                <w:szCs w:val="12"/>
                <w:lang w:eastAsia="it-IT"/>
              </w:rPr>
              <w:t xml:space="preserve"> </w:t>
            </w:r>
            <w:proofErr w:type="spellStart"/>
            <w:r w:rsidRPr="00572C9C">
              <w:rPr>
                <w:rFonts w:ascii="Arial" w:eastAsia="Times New Roman" w:hAnsi="Arial" w:cs="Arial"/>
                <w:sz w:val="12"/>
                <w:szCs w:val="12"/>
                <w:lang w:eastAsia="it-IT"/>
              </w:rPr>
              <w:t>apparecch</w:t>
            </w:r>
            <w:proofErr w:type="spellEnd"/>
            <w:r w:rsidRPr="00572C9C">
              <w:rPr>
                <w:rFonts w:ascii="Arial" w:eastAsia="Times New Roman" w:hAnsi="Arial" w:cs="Arial"/>
                <w:sz w:val="12"/>
                <w:szCs w:val="12"/>
                <w:lang w:eastAsia="it-IT"/>
              </w:rPr>
              <w:t xml:space="preserve"> attrezzatura varie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336.110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342.394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351.892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355.585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356.895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357.669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360.169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111218</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Fondo ammortamento </w:t>
            </w:r>
            <w:proofErr w:type="spellStart"/>
            <w:r w:rsidRPr="00572C9C">
              <w:rPr>
                <w:rFonts w:ascii="Arial" w:eastAsia="Times New Roman" w:hAnsi="Arial" w:cs="Arial"/>
                <w:sz w:val="12"/>
                <w:szCs w:val="12"/>
                <w:lang w:eastAsia="it-IT"/>
              </w:rPr>
              <w:t>Macch</w:t>
            </w:r>
            <w:proofErr w:type="spellEnd"/>
            <w:r w:rsidRPr="00572C9C">
              <w:rPr>
                <w:rFonts w:ascii="Arial" w:eastAsia="Times New Roman" w:hAnsi="Arial" w:cs="Arial"/>
                <w:sz w:val="12"/>
                <w:szCs w:val="12"/>
                <w:lang w:eastAsia="it-IT"/>
              </w:rPr>
              <w:t xml:space="preserve"> </w:t>
            </w:r>
            <w:proofErr w:type="spellStart"/>
            <w:r w:rsidRPr="00572C9C">
              <w:rPr>
                <w:rFonts w:ascii="Arial" w:eastAsia="Times New Roman" w:hAnsi="Arial" w:cs="Arial"/>
                <w:sz w:val="12"/>
                <w:szCs w:val="12"/>
                <w:lang w:eastAsia="it-IT"/>
              </w:rPr>
              <w:t>apparecch</w:t>
            </w:r>
            <w:proofErr w:type="spellEnd"/>
            <w:r w:rsidRPr="00572C9C">
              <w:rPr>
                <w:rFonts w:ascii="Arial" w:eastAsia="Times New Roman" w:hAnsi="Arial" w:cs="Arial"/>
                <w:sz w:val="12"/>
                <w:szCs w:val="12"/>
                <w:lang w:eastAsia="it-IT"/>
              </w:rPr>
              <w:t xml:space="preserve"> attrezzatura varie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301.239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311.344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321.893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331.256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339.495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347.907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348.095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111220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Altre </w:t>
            </w:r>
            <w:proofErr w:type="spellStart"/>
            <w:r w:rsidRPr="00572C9C">
              <w:rPr>
                <w:rFonts w:ascii="Arial" w:eastAsia="Times New Roman" w:hAnsi="Arial" w:cs="Arial"/>
                <w:sz w:val="12"/>
                <w:szCs w:val="12"/>
                <w:lang w:eastAsia="it-IT"/>
              </w:rPr>
              <w:t>immobilizz</w:t>
            </w:r>
            <w:proofErr w:type="spellEnd"/>
            <w:r w:rsidRPr="00572C9C">
              <w:rPr>
                <w:rFonts w:ascii="Arial" w:eastAsia="Times New Roman" w:hAnsi="Arial" w:cs="Arial"/>
                <w:sz w:val="12"/>
                <w:szCs w:val="12"/>
                <w:lang w:eastAsia="it-IT"/>
              </w:rPr>
              <w:t>. Tecniche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54.297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111221</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Fondo </w:t>
            </w:r>
            <w:proofErr w:type="spellStart"/>
            <w:r w:rsidRPr="00572C9C">
              <w:rPr>
                <w:rFonts w:ascii="Arial" w:eastAsia="Times New Roman" w:hAnsi="Arial" w:cs="Arial"/>
                <w:sz w:val="12"/>
                <w:szCs w:val="12"/>
                <w:lang w:eastAsia="it-IT"/>
              </w:rPr>
              <w:t>ammortam</w:t>
            </w:r>
            <w:proofErr w:type="spellEnd"/>
            <w:r w:rsidRPr="00572C9C">
              <w:rPr>
                <w:rFonts w:ascii="Arial" w:eastAsia="Times New Roman" w:hAnsi="Arial" w:cs="Arial"/>
                <w:sz w:val="12"/>
                <w:szCs w:val="12"/>
                <w:lang w:eastAsia="it-IT"/>
              </w:rPr>
              <w:t xml:space="preserve">. Altre </w:t>
            </w:r>
            <w:proofErr w:type="spellStart"/>
            <w:r w:rsidRPr="00572C9C">
              <w:rPr>
                <w:rFonts w:ascii="Arial" w:eastAsia="Times New Roman" w:hAnsi="Arial" w:cs="Arial"/>
                <w:sz w:val="12"/>
                <w:szCs w:val="12"/>
                <w:lang w:eastAsia="it-IT"/>
              </w:rPr>
              <w:t>immobilizz</w:t>
            </w:r>
            <w:proofErr w:type="spellEnd"/>
            <w:r w:rsidRPr="00572C9C">
              <w:rPr>
                <w:rFonts w:ascii="Arial" w:eastAsia="Times New Roman" w:hAnsi="Arial" w:cs="Arial"/>
                <w:sz w:val="12"/>
                <w:szCs w:val="12"/>
                <w:lang w:eastAsia="it-IT"/>
              </w:rPr>
              <w:t>. Tecniche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54.297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53.850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111238</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Attrezzature Ufficio Metrico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19.940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111239</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Attrezzature Ufficio Metrico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10.209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11.238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11.660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11.940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12.540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111300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Macchine d'ufficio </w:t>
            </w:r>
            <w:proofErr w:type="spellStart"/>
            <w:r w:rsidRPr="00572C9C">
              <w:rPr>
                <w:rFonts w:ascii="Arial" w:eastAsia="Times New Roman" w:hAnsi="Arial" w:cs="Arial"/>
                <w:sz w:val="12"/>
                <w:szCs w:val="12"/>
                <w:lang w:eastAsia="it-IT"/>
              </w:rPr>
              <w:t>elettrom.ele</w:t>
            </w:r>
            <w:proofErr w:type="spellEnd"/>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1.042.391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1.099.175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1.111.968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1.033.383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1.087.387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1.115.545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1.223.545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lastRenderedPageBreak/>
              <w:t>111303</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Fondo ammortamento macchine d'ufficio </w:t>
            </w:r>
            <w:proofErr w:type="spellStart"/>
            <w:r w:rsidRPr="00572C9C">
              <w:rPr>
                <w:rFonts w:ascii="Arial" w:eastAsia="Times New Roman" w:hAnsi="Arial" w:cs="Arial"/>
                <w:sz w:val="12"/>
                <w:szCs w:val="12"/>
                <w:lang w:eastAsia="it-IT"/>
              </w:rPr>
              <w:t>elettrom.ele</w:t>
            </w:r>
            <w:proofErr w:type="spellEnd"/>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905.624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979.588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1.027.850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983.174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1.020.653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1.063.899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1.074.653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111410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Arredi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245.788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255.200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265.692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304.121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304.121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374.121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379.014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111415</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arredi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168.026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183.374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199.920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221.068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241.899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263.316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285.027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111440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Opere d'arte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13.950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176.350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176.350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176.350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176.350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176.350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176.350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111500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Autoveicoli e motoveicoli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59.207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59.207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60.007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60.007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60.007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60.007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60.007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111505</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ammortamento autoveicoli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59.207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59.207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59.407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59.607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59.807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60.007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60.207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111600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Biblioteca</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55.111 </w:t>
            </w:r>
          </w:p>
        </w:tc>
      </w:tr>
      <w:tr w:rsidR="00572C9C" w:rsidRPr="00572C9C" w:rsidTr="00572C9C">
        <w:trPr>
          <w:trHeight w:val="300"/>
        </w:trPr>
        <w:tc>
          <w:tcPr>
            <w:tcW w:w="237" w:type="pct"/>
            <w:tcBorders>
              <w:top w:val="nil"/>
              <w:left w:val="single" w:sz="8" w:space="0" w:color="auto"/>
              <w:bottom w:val="dashed" w:sz="4" w:space="0" w:color="auto"/>
              <w:right w:val="dashed" w:sz="4" w:space="0" w:color="auto"/>
            </w:tcBorders>
            <w:shd w:val="clear" w:color="000000" w:fill="BFBFBF"/>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nil"/>
            </w:tcBorders>
            <w:shd w:val="clear" w:color="000000" w:fill="BFBFBF"/>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single" w:sz="8"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28.932.770 </w:t>
            </w:r>
          </w:p>
        </w:tc>
        <w:tc>
          <w:tcPr>
            <w:tcW w:w="415"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30.392.240 </w:t>
            </w:r>
          </w:p>
        </w:tc>
        <w:tc>
          <w:tcPr>
            <w:tcW w:w="396"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30.171.379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28.997.492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27.534.326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26.332.815 </w:t>
            </w:r>
          </w:p>
        </w:tc>
        <w:tc>
          <w:tcPr>
            <w:tcW w:w="433" w:type="pct"/>
            <w:tcBorders>
              <w:top w:val="nil"/>
              <w:left w:val="dashed" w:sz="4" w:space="0" w:color="auto"/>
              <w:bottom w:val="dashed" w:sz="4" w:space="0" w:color="auto"/>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26.755.241 </w:t>
            </w:r>
          </w:p>
        </w:tc>
      </w:tr>
      <w:tr w:rsidR="00572C9C" w:rsidRPr="00572C9C" w:rsidTr="00572C9C">
        <w:trPr>
          <w:trHeight w:val="300"/>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Immobilizzazioni finanziarie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112000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Partecipazioni in imprese controllate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930.405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1.372.389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909.429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865.335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858.754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858.754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858.754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112001</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Partecipazioni azionarie </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922716" w:rsidP="00572C9C">
            <w:pPr>
              <w:spacing w:after="0" w:line="240" w:lineRule="auto"/>
              <w:jc w:val="right"/>
              <w:rPr>
                <w:rFonts w:ascii="Arial Unicode MS" w:eastAsia="Arial Unicode MS" w:hAnsi="Arial Unicode MS" w:cs="Arial Unicode MS"/>
                <w:sz w:val="12"/>
                <w:szCs w:val="12"/>
                <w:lang w:eastAsia="it-IT"/>
              </w:rPr>
            </w:pPr>
            <w:r>
              <w:rPr>
                <w:rFonts w:ascii="Arial Unicode MS" w:eastAsia="Arial Unicode MS" w:hAnsi="Arial Unicode MS" w:cs="Arial Unicode MS"/>
                <w:sz w:val="12"/>
                <w:szCs w:val="12"/>
                <w:lang w:eastAsia="it-IT"/>
              </w:rPr>
              <w:t>9’</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Partecipazioni in imprese collegate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38.796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135.000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135.000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135.000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112004</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922716" w:rsidP="00572C9C">
            <w:pPr>
              <w:spacing w:after="0" w:line="240" w:lineRule="auto"/>
              <w:rPr>
                <w:rFonts w:ascii="Arial" w:eastAsia="Times New Roman" w:hAnsi="Arial" w:cs="Arial"/>
                <w:sz w:val="12"/>
                <w:szCs w:val="12"/>
                <w:lang w:eastAsia="it-IT"/>
              </w:rPr>
            </w:pPr>
            <w:r>
              <w:rPr>
                <w:rFonts w:ascii="Arial" w:eastAsia="Times New Roman" w:hAnsi="Arial" w:cs="Arial"/>
                <w:sz w:val="12"/>
                <w:szCs w:val="12"/>
                <w:lang w:eastAsia="it-IT"/>
              </w:rPr>
              <w:t>09+</w:t>
            </w:r>
            <w:bookmarkStart w:id="0" w:name="_GoBack"/>
            <w:bookmarkEnd w:id="0"/>
            <w:r w:rsidR="00572C9C" w:rsidRPr="00572C9C">
              <w:rPr>
                <w:rFonts w:ascii="Arial" w:eastAsia="Times New Roman" w:hAnsi="Arial" w:cs="Arial"/>
                <w:sz w:val="12"/>
                <w:szCs w:val="12"/>
                <w:lang w:eastAsia="it-IT"/>
              </w:rPr>
              <w:t>Altre Partecipazioni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14.304.298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14.307.560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14.539.104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14.527.861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14.473.287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16.109.787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19.154.287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112005</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Conferimenti di capitale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850.850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829.850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829.850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2.629.850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4.469.685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6.269.685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5.121.685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112101</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Fondo garanzia fidi PMI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3.000.000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112203</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Prestiti e anticipazioni al personale</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2.702.153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2.765.991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2.808.245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2.760.888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2.377.152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2.377.152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2.377.152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112210</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Crediti v/Tesoreria</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10.556.623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Crediti oltre l'anno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16.961 </w:t>
            </w:r>
          </w:p>
        </w:tc>
        <w:tc>
          <w:tcPr>
            <w:tcW w:w="415" w:type="pct"/>
            <w:tcBorders>
              <w:top w:val="single" w:sz="4" w:space="0" w:color="auto"/>
              <w:left w:val="single" w:sz="4" w:space="0" w:color="auto"/>
              <w:bottom w:val="single"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121.689 </w:t>
            </w:r>
          </w:p>
        </w:tc>
        <w:tc>
          <w:tcPr>
            <w:tcW w:w="396"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121.689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121.689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209.585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209.585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209.585 </w:t>
            </w:r>
          </w:p>
        </w:tc>
      </w:tr>
      <w:tr w:rsidR="00572C9C" w:rsidRPr="00572C9C" w:rsidTr="00572C9C">
        <w:trPr>
          <w:trHeight w:val="315"/>
        </w:trPr>
        <w:tc>
          <w:tcPr>
            <w:tcW w:w="237" w:type="pct"/>
            <w:tcBorders>
              <w:top w:val="nil"/>
              <w:left w:val="single" w:sz="8" w:space="0" w:color="auto"/>
              <w:bottom w:val="nil"/>
              <w:right w:val="dashed" w:sz="4" w:space="0" w:color="auto"/>
            </w:tcBorders>
            <w:shd w:val="clear" w:color="000000" w:fill="BFBFBF"/>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nil"/>
              <w:right w:val="nil"/>
            </w:tcBorders>
            <w:shd w:val="clear" w:color="000000" w:fill="BFBFBF"/>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single" w:sz="8"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29.400.086 </w:t>
            </w:r>
          </w:p>
        </w:tc>
        <w:tc>
          <w:tcPr>
            <w:tcW w:w="415" w:type="pct"/>
            <w:tcBorders>
              <w:top w:val="dashed" w:sz="4" w:space="0" w:color="auto"/>
              <w:left w:val="dashed" w:sz="4"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19.397.479 </w:t>
            </w:r>
          </w:p>
        </w:tc>
        <w:tc>
          <w:tcPr>
            <w:tcW w:w="396" w:type="pct"/>
            <w:tcBorders>
              <w:top w:val="dashed" w:sz="4" w:space="0" w:color="auto"/>
              <w:left w:val="dashed" w:sz="4"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19.208.316 </w:t>
            </w:r>
          </w:p>
        </w:tc>
        <w:tc>
          <w:tcPr>
            <w:tcW w:w="433" w:type="pct"/>
            <w:tcBorders>
              <w:top w:val="nil"/>
              <w:left w:val="dashed" w:sz="4"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20.905.623 </w:t>
            </w:r>
          </w:p>
        </w:tc>
        <w:tc>
          <w:tcPr>
            <w:tcW w:w="433" w:type="pct"/>
            <w:tcBorders>
              <w:top w:val="nil"/>
              <w:left w:val="dashed" w:sz="4"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22.523.463 </w:t>
            </w:r>
          </w:p>
        </w:tc>
        <w:tc>
          <w:tcPr>
            <w:tcW w:w="433" w:type="pct"/>
            <w:tcBorders>
              <w:top w:val="nil"/>
              <w:left w:val="dashed" w:sz="4"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28.959.963 </w:t>
            </w:r>
          </w:p>
        </w:tc>
        <w:tc>
          <w:tcPr>
            <w:tcW w:w="433" w:type="pct"/>
            <w:tcBorders>
              <w:top w:val="nil"/>
              <w:left w:val="dashed" w:sz="4" w:space="0" w:color="auto"/>
              <w:bottom w:val="nil"/>
              <w:right w:val="single" w:sz="8" w:space="0" w:color="auto"/>
            </w:tcBorders>
            <w:shd w:val="clear" w:color="000000" w:fill="BFBFBF"/>
            <w:noWrap/>
            <w:vAlign w:val="center"/>
            <w:hideMark/>
          </w:tcPr>
          <w:p w:rsidR="00572C9C" w:rsidRPr="00572C9C" w:rsidRDefault="00572C9C" w:rsidP="00572C9C">
            <w:pPr>
              <w:spacing w:after="0" w:line="240" w:lineRule="auto"/>
              <w:jc w:val="right"/>
              <w:rPr>
                <w:rFonts w:ascii="Arial" w:eastAsia="Times New Roman" w:hAnsi="Arial" w:cs="Arial"/>
                <w:b/>
                <w:bCs/>
                <w:i/>
                <w:iCs/>
                <w:sz w:val="12"/>
                <w:szCs w:val="12"/>
                <w:lang w:eastAsia="it-IT"/>
              </w:rPr>
            </w:pPr>
            <w:r w:rsidRPr="00572C9C">
              <w:rPr>
                <w:rFonts w:ascii="Arial" w:eastAsia="Times New Roman" w:hAnsi="Arial" w:cs="Arial"/>
                <w:b/>
                <w:bCs/>
                <w:i/>
                <w:iCs/>
                <w:sz w:val="12"/>
                <w:szCs w:val="12"/>
                <w:lang w:eastAsia="it-IT"/>
              </w:rPr>
              <w:t xml:space="preserve">  27.856.463 </w:t>
            </w:r>
          </w:p>
        </w:tc>
      </w:tr>
      <w:tr w:rsidR="00572C9C" w:rsidRPr="00572C9C" w:rsidTr="00572C9C">
        <w:trPr>
          <w:trHeight w:val="315"/>
        </w:trPr>
        <w:tc>
          <w:tcPr>
            <w:tcW w:w="237" w:type="pct"/>
            <w:tcBorders>
              <w:top w:val="single" w:sz="8" w:space="0" w:color="auto"/>
              <w:left w:val="dashed" w:sz="4" w:space="0" w:color="auto"/>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1807" w:type="pct"/>
            <w:tcBorders>
              <w:top w:val="single" w:sz="8" w:space="0" w:color="auto"/>
              <w:left w:val="dashed" w:sz="4" w:space="0" w:color="auto"/>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ATTIVO FISSO NETTO</w:t>
            </w:r>
          </w:p>
        </w:tc>
        <w:tc>
          <w:tcPr>
            <w:tcW w:w="415" w:type="pct"/>
            <w:tcBorders>
              <w:top w:val="single" w:sz="8" w:space="0" w:color="auto"/>
              <w:left w:val="single" w:sz="8"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58.348.149 </w:t>
            </w:r>
          </w:p>
        </w:tc>
        <w:tc>
          <w:tcPr>
            <w:tcW w:w="415" w:type="pct"/>
            <w:tcBorders>
              <w:top w:val="single" w:sz="8" w:space="0" w:color="auto"/>
              <w:left w:val="dashed" w:sz="4"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49.970.518 </w:t>
            </w:r>
          </w:p>
        </w:tc>
        <w:tc>
          <w:tcPr>
            <w:tcW w:w="396" w:type="pct"/>
            <w:tcBorders>
              <w:top w:val="single" w:sz="8" w:space="0" w:color="auto"/>
              <w:left w:val="dashed" w:sz="4"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49.478.652 </w:t>
            </w:r>
          </w:p>
        </w:tc>
        <w:tc>
          <w:tcPr>
            <w:tcW w:w="433" w:type="pct"/>
            <w:tcBorders>
              <w:top w:val="single" w:sz="8" w:space="0" w:color="auto"/>
              <w:left w:val="dashed" w:sz="4"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49.918.653 </w:t>
            </w:r>
          </w:p>
        </w:tc>
        <w:tc>
          <w:tcPr>
            <w:tcW w:w="433" w:type="pct"/>
            <w:tcBorders>
              <w:top w:val="single" w:sz="8" w:space="0" w:color="auto"/>
              <w:left w:val="dashed" w:sz="4"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50.069.283 </w:t>
            </w:r>
          </w:p>
        </w:tc>
        <w:tc>
          <w:tcPr>
            <w:tcW w:w="433" w:type="pct"/>
            <w:tcBorders>
              <w:top w:val="single" w:sz="8" w:space="0" w:color="auto"/>
              <w:left w:val="dashed" w:sz="4"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55.299.360 </w:t>
            </w:r>
          </w:p>
        </w:tc>
        <w:tc>
          <w:tcPr>
            <w:tcW w:w="433" w:type="pct"/>
            <w:tcBorders>
              <w:top w:val="single" w:sz="8" w:space="0" w:color="auto"/>
              <w:left w:val="dashed" w:sz="4"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54.645.301 </w:t>
            </w:r>
          </w:p>
        </w:tc>
      </w:tr>
      <w:tr w:rsidR="00572C9C" w:rsidRPr="00572C9C" w:rsidTr="00572C9C">
        <w:trPr>
          <w:trHeight w:val="300"/>
        </w:trPr>
        <w:tc>
          <w:tcPr>
            <w:tcW w:w="237" w:type="pct"/>
            <w:tcBorders>
              <w:top w:val="nil"/>
              <w:left w:val="single" w:sz="8" w:space="0" w:color="auto"/>
              <w:bottom w:val="nil"/>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nil"/>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396"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00"/>
        </w:trPr>
        <w:tc>
          <w:tcPr>
            <w:tcW w:w="237" w:type="pct"/>
            <w:tcBorders>
              <w:top w:val="nil"/>
              <w:left w:val="single" w:sz="8" w:space="0" w:color="auto"/>
              <w:bottom w:val="nil"/>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nil"/>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396"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nil"/>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15"/>
        </w:trPr>
        <w:tc>
          <w:tcPr>
            <w:tcW w:w="5000" w:type="pct"/>
            <w:gridSpan w:val="9"/>
            <w:tcBorders>
              <w:top w:val="nil"/>
              <w:left w:val="single" w:sz="8" w:space="0" w:color="auto"/>
              <w:bottom w:val="single" w:sz="8" w:space="0" w:color="auto"/>
              <w:right w:val="single" w:sz="8" w:space="0" w:color="000000"/>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00"/>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Passivo consolidato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396"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r>
      <w:tr w:rsidR="00572C9C" w:rsidRPr="00572C9C" w:rsidTr="00572C9C">
        <w:trPr>
          <w:trHeight w:val="300"/>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Altri Debiti oltre l'anno</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246.186 </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246.186 </w:t>
            </w:r>
          </w:p>
        </w:tc>
        <w:tc>
          <w:tcPr>
            <w:tcW w:w="396"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246.186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246.186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1.325.910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1.325.910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1.325.910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261004</w:t>
            </w:r>
          </w:p>
        </w:tc>
        <w:tc>
          <w:tcPr>
            <w:tcW w:w="1807" w:type="pct"/>
            <w:tcBorders>
              <w:top w:val="nil"/>
              <w:left w:val="nil"/>
              <w:bottom w:val="dashed" w:sz="4"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Fondi rischi ed oneri</w:t>
            </w:r>
          </w:p>
        </w:tc>
        <w:tc>
          <w:tcPr>
            <w:tcW w:w="415" w:type="pct"/>
            <w:tcBorders>
              <w:top w:val="nil"/>
              <w:left w:val="single" w:sz="8"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396"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c>
          <w:tcPr>
            <w:tcW w:w="433"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 </w:t>
            </w:r>
          </w:p>
        </w:tc>
      </w:tr>
      <w:tr w:rsidR="00572C9C" w:rsidRPr="00572C9C" w:rsidTr="00572C9C">
        <w:trPr>
          <w:trHeight w:val="330"/>
        </w:trPr>
        <w:tc>
          <w:tcPr>
            <w:tcW w:w="237" w:type="pct"/>
            <w:tcBorders>
              <w:top w:val="nil"/>
              <w:left w:val="single" w:sz="8" w:space="0" w:color="auto"/>
              <w:bottom w:val="nil"/>
              <w:right w:val="dashed" w:sz="4" w:space="0" w:color="auto"/>
            </w:tcBorders>
            <w:shd w:val="clear" w:color="000000" w:fill="FFFFCC"/>
            <w:noWrap/>
            <w:vAlign w:val="bottom"/>
            <w:hideMark/>
          </w:tcPr>
          <w:p w:rsidR="00572C9C" w:rsidRPr="00572C9C" w:rsidRDefault="00572C9C" w:rsidP="00572C9C">
            <w:pPr>
              <w:spacing w:after="0" w:line="240" w:lineRule="auto"/>
              <w:jc w:val="right"/>
              <w:rPr>
                <w:rFonts w:ascii="Arial Unicode MS" w:eastAsia="Arial Unicode MS" w:hAnsi="Arial Unicode MS" w:cs="Arial Unicode MS"/>
                <w:sz w:val="12"/>
                <w:szCs w:val="12"/>
                <w:lang w:eastAsia="it-IT"/>
              </w:rPr>
            </w:pPr>
            <w:r w:rsidRPr="00572C9C">
              <w:rPr>
                <w:rFonts w:ascii="Arial Unicode MS" w:eastAsia="Arial Unicode MS" w:hAnsi="Arial Unicode MS" w:cs="Arial Unicode MS" w:hint="eastAsia"/>
                <w:sz w:val="12"/>
                <w:szCs w:val="12"/>
                <w:lang w:eastAsia="it-IT"/>
              </w:rPr>
              <w:t>230001</w:t>
            </w:r>
          </w:p>
        </w:tc>
        <w:tc>
          <w:tcPr>
            <w:tcW w:w="1807" w:type="pct"/>
            <w:tcBorders>
              <w:top w:val="nil"/>
              <w:left w:val="nil"/>
              <w:bottom w:val="nil"/>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proofErr w:type="spellStart"/>
            <w:r w:rsidRPr="00572C9C">
              <w:rPr>
                <w:rFonts w:ascii="Arial" w:eastAsia="Times New Roman" w:hAnsi="Arial" w:cs="Arial"/>
                <w:sz w:val="12"/>
                <w:szCs w:val="12"/>
                <w:lang w:eastAsia="it-IT"/>
              </w:rPr>
              <w:t>Indennita'</w:t>
            </w:r>
            <w:proofErr w:type="spellEnd"/>
            <w:r w:rsidRPr="00572C9C">
              <w:rPr>
                <w:rFonts w:ascii="Arial" w:eastAsia="Times New Roman" w:hAnsi="Arial" w:cs="Arial"/>
                <w:sz w:val="12"/>
                <w:szCs w:val="12"/>
                <w:lang w:eastAsia="it-IT"/>
              </w:rPr>
              <w:t xml:space="preserve"> di fine rapporto</w:t>
            </w:r>
          </w:p>
        </w:tc>
        <w:tc>
          <w:tcPr>
            <w:tcW w:w="415" w:type="pct"/>
            <w:tcBorders>
              <w:top w:val="nil"/>
              <w:left w:val="single" w:sz="8" w:space="0" w:color="auto"/>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11.153.052 </w:t>
            </w:r>
          </w:p>
        </w:tc>
        <w:tc>
          <w:tcPr>
            <w:tcW w:w="415"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9.809.328 </w:t>
            </w:r>
          </w:p>
        </w:tc>
        <w:tc>
          <w:tcPr>
            <w:tcW w:w="396"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8.729.073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6.254.978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6.254.893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6.254.893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6.254.893 </w:t>
            </w:r>
          </w:p>
        </w:tc>
      </w:tr>
      <w:tr w:rsidR="00572C9C" w:rsidRPr="00572C9C" w:rsidTr="00572C9C">
        <w:trPr>
          <w:trHeight w:val="315"/>
        </w:trPr>
        <w:tc>
          <w:tcPr>
            <w:tcW w:w="237" w:type="pct"/>
            <w:tcBorders>
              <w:top w:val="single" w:sz="8" w:space="0" w:color="auto"/>
              <w:left w:val="dashed" w:sz="4" w:space="0" w:color="auto"/>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1807" w:type="pct"/>
            <w:tcBorders>
              <w:top w:val="single" w:sz="8" w:space="0" w:color="auto"/>
              <w:left w:val="dashed" w:sz="4" w:space="0" w:color="auto"/>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TOT PASSIVO CONSOLIDATO</w:t>
            </w:r>
          </w:p>
        </w:tc>
        <w:tc>
          <w:tcPr>
            <w:tcW w:w="415" w:type="pct"/>
            <w:tcBorders>
              <w:top w:val="nil"/>
              <w:left w:val="single" w:sz="8"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11.399.238 </w:t>
            </w:r>
          </w:p>
        </w:tc>
        <w:tc>
          <w:tcPr>
            <w:tcW w:w="415"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10.055.514 </w:t>
            </w:r>
          </w:p>
        </w:tc>
        <w:tc>
          <w:tcPr>
            <w:tcW w:w="396"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8.975.259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6.501.164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7.580.803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7.580.803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7.580.803 </w:t>
            </w:r>
          </w:p>
        </w:tc>
      </w:tr>
      <w:tr w:rsidR="00572C9C" w:rsidRPr="00572C9C" w:rsidTr="00572C9C">
        <w:trPr>
          <w:trHeight w:val="300"/>
        </w:trPr>
        <w:tc>
          <w:tcPr>
            <w:tcW w:w="237" w:type="pct"/>
            <w:tcBorders>
              <w:top w:val="nil"/>
              <w:left w:val="single" w:sz="8" w:space="0" w:color="auto"/>
              <w:bottom w:val="nil"/>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nil"/>
              <w:right w:val="single" w:sz="8"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15"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15"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396"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433" w:type="pct"/>
            <w:tcBorders>
              <w:top w:val="nil"/>
              <w:left w:val="nil"/>
              <w:bottom w:val="nil"/>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r>
      <w:tr w:rsidR="00572C9C" w:rsidRPr="00572C9C" w:rsidTr="00572C9C">
        <w:trPr>
          <w:trHeight w:val="315"/>
        </w:trPr>
        <w:tc>
          <w:tcPr>
            <w:tcW w:w="237" w:type="pct"/>
            <w:tcBorders>
              <w:top w:val="nil"/>
              <w:left w:val="single" w:sz="8" w:space="0" w:color="auto"/>
              <w:bottom w:val="dashed" w:sz="4" w:space="0" w:color="auto"/>
              <w:right w:val="dashed" w:sz="4"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1807" w:type="pct"/>
            <w:tcBorders>
              <w:top w:val="nil"/>
              <w:left w:val="nil"/>
              <w:bottom w:val="dashed" w:sz="4"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Capitale netto</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w:t>
            </w:r>
          </w:p>
        </w:tc>
      </w:tr>
      <w:tr w:rsidR="00572C9C" w:rsidRPr="00572C9C" w:rsidTr="00572C9C">
        <w:trPr>
          <w:trHeight w:val="315"/>
        </w:trPr>
        <w:tc>
          <w:tcPr>
            <w:tcW w:w="237" w:type="pct"/>
            <w:tcBorders>
              <w:top w:val="single" w:sz="4" w:space="0" w:color="auto"/>
              <w:left w:val="single" w:sz="8" w:space="0" w:color="auto"/>
              <w:bottom w:val="single" w:sz="4" w:space="0" w:color="auto"/>
              <w:right w:val="single" w:sz="4" w:space="0" w:color="auto"/>
            </w:tcBorders>
            <w:shd w:val="clear" w:color="000000" w:fill="FFFFCC"/>
            <w:noWrap/>
            <w:vAlign w:val="bottom"/>
            <w:hideMark/>
          </w:tcPr>
          <w:p w:rsidR="00572C9C" w:rsidRPr="00572C9C" w:rsidRDefault="00572C9C" w:rsidP="00572C9C">
            <w:pPr>
              <w:spacing w:after="0" w:line="240" w:lineRule="auto"/>
              <w:jc w:val="right"/>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201010</w:t>
            </w:r>
          </w:p>
        </w:tc>
        <w:tc>
          <w:tcPr>
            <w:tcW w:w="1807" w:type="pct"/>
            <w:tcBorders>
              <w:top w:val="single" w:sz="4" w:space="0" w:color="auto"/>
              <w:left w:val="nil"/>
              <w:bottom w:val="single" w:sz="4"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Avanzo/Disavanzo esercizi prece</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67.121.761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71.798.714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76.699.764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76.709.092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80.856.049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87.808.629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75.066.738 </w:t>
            </w:r>
          </w:p>
        </w:tc>
      </w:tr>
      <w:tr w:rsidR="00572C9C" w:rsidRPr="00572C9C" w:rsidTr="00572C9C">
        <w:trPr>
          <w:trHeight w:val="315"/>
        </w:trPr>
        <w:tc>
          <w:tcPr>
            <w:tcW w:w="237" w:type="pct"/>
            <w:tcBorders>
              <w:top w:val="nil"/>
              <w:left w:val="single" w:sz="8" w:space="0" w:color="auto"/>
              <w:bottom w:val="single" w:sz="4" w:space="0" w:color="auto"/>
              <w:right w:val="single" w:sz="4" w:space="0" w:color="auto"/>
            </w:tcBorders>
            <w:shd w:val="clear" w:color="000000" w:fill="FFFFCC"/>
            <w:noWrap/>
            <w:vAlign w:val="bottom"/>
            <w:hideMark/>
          </w:tcPr>
          <w:p w:rsidR="00572C9C" w:rsidRPr="00572C9C" w:rsidRDefault="00572C9C" w:rsidP="00572C9C">
            <w:pPr>
              <w:spacing w:after="0" w:line="240" w:lineRule="auto"/>
              <w:jc w:val="right"/>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201012</w:t>
            </w:r>
          </w:p>
        </w:tc>
        <w:tc>
          <w:tcPr>
            <w:tcW w:w="1807" w:type="pct"/>
            <w:tcBorders>
              <w:top w:val="nil"/>
              <w:left w:val="nil"/>
              <w:bottom w:val="single" w:sz="4"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Riserva da conversione lire/</w:t>
            </w:r>
            <w:proofErr w:type="spellStart"/>
            <w:r w:rsidRPr="00572C9C">
              <w:rPr>
                <w:rFonts w:ascii="Calibri" w:eastAsia="Times New Roman" w:hAnsi="Calibri" w:cs="Times New Roman"/>
                <w:sz w:val="12"/>
                <w:szCs w:val="12"/>
                <w:lang w:eastAsia="it-IT"/>
              </w:rPr>
              <w:t>eur</w:t>
            </w:r>
            <w:proofErr w:type="spellEnd"/>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 </w:t>
            </w:r>
          </w:p>
        </w:tc>
      </w:tr>
      <w:tr w:rsidR="00572C9C" w:rsidRPr="00572C9C" w:rsidTr="00572C9C">
        <w:trPr>
          <w:trHeight w:val="315"/>
        </w:trPr>
        <w:tc>
          <w:tcPr>
            <w:tcW w:w="237" w:type="pct"/>
            <w:tcBorders>
              <w:top w:val="nil"/>
              <w:left w:val="single" w:sz="8" w:space="0" w:color="auto"/>
              <w:bottom w:val="single" w:sz="4" w:space="0" w:color="auto"/>
              <w:right w:val="single" w:sz="4" w:space="0" w:color="auto"/>
            </w:tcBorders>
            <w:shd w:val="clear" w:color="000000" w:fill="FFFFCC"/>
            <w:noWrap/>
            <w:vAlign w:val="bottom"/>
            <w:hideMark/>
          </w:tcPr>
          <w:p w:rsidR="00572C9C" w:rsidRPr="00572C9C" w:rsidRDefault="00572C9C" w:rsidP="00572C9C">
            <w:pPr>
              <w:spacing w:after="0" w:line="240" w:lineRule="auto"/>
              <w:jc w:val="right"/>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201013</w:t>
            </w:r>
          </w:p>
        </w:tc>
        <w:tc>
          <w:tcPr>
            <w:tcW w:w="1807" w:type="pct"/>
            <w:tcBorders>
              <w:top w:val="nil"/>
              <w:left w:val="nil"/>
              <w:bottom w:val="single" w:sz="4"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Riserva da conversione ex art.25</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10.529.759 </w:t>
            </w:r>
          </w:p>
        </w:tc>
      </w:tr>
      <w:tr w:rsidR="00572C9C" w:rsidRPr="00572C9C" w:rsidTr="00572C9C">
        <w:trPr>
          <w:trHeight w:val="315"/>
        </w:trPr>
        <w:tc>
          <w:tcPr>
            <w:tcW w:w="237" w:type="pct"/>
            <w:tcBorders>
              <w:top w:val="nil"/>
              <w:left w:val="single" w:sz="8" w:space="0" w:color="auto"/>
              <w:bottom w:val="single" w:sz="4" w:space="0" w:color="auto"/>
              <w:right w:val="single" w:sz="4" w:space="0" w:color="auto"/>
            </w:tcBorders>
            <w:shd w:val="clear" w:color="000000" w:fill="FFFFCC"/>
            <w:noWrap/>
            <w:vAlign w:val="bottom"/>
            <w:hideMark/>
          </w:tcPr>
          <w:p w:rsidR="00572C9C" w:rsidRPr="00572C9C" w:rsidRDefault="00572C9C" w:rsidP="00572C9C">
            <w:pPr>
              <w:spacing w:after="0" w:line="240" w:lineRule="auto"/>
              <w:jc w:val="right"/>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201014</w:t>
            </w:r>
          </w:p>
        </w:tc>
        <w:tc>
          <w:tcPr>
            <w:tcW w:w="1807" w:type="pct"/>
            <w:tcBorders>
              <w:top w:val="nil"/>
              <w:left w:val="nil"/>
              <w:bottom w:val="single" w:sz="4"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Riserva indisponibile ex D.P.R. n. 254/2005</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6.684.000 </w:t>
            </w:r>
          </w:p>
        </w:tc>
      </w:tr>
      <w:tr w:rsidR="00572C9C" w:rsidRPr="00572C9C" w:rsidTr="00572C9C">
        <w:trPr>
          <w:trHeight w:val="315"/>
        </w:trPr>
        <w:tc>
          <w:tcPr>
            <w:tcW w:w="237" w:type="pct"/>
            <w:tcBorders>
              <w:top w:val="nil"/>
              <w:left w:val="single" w:sz="8" w:space="0" w:color="auto"/>
              <w:bottom w:val="single" w:sz="4" w:space="0" w:color="auto"/>
              <w:right w:val="single" w:sz="4" w:space="0" w:color="auto"/>
            </w:tcBorders>
            <w:shd w:val="clear" w:color="000000" w:fill="FFFFCC"/>
            <w:noWrap/>
            <w:vAlign w:val="bottom"/>
            <w:hideMark/>
          </w:tcPr>
          <w:p w:rsidR="00572C9C" w:rsidRPr="00572C9C" w:rsidRDefault="00572C9C" w:rsidP="00572C9C">
            <w:pPr>
              <w:spacing w:after="0" w:line="240" w:lineRule="auto"/>
              <w:jc w:val="right"/>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202000</w:t>
            </w:r>
          </w:p>
        </w:tc>
        <w:tc>
          <w:tcPr>
            <w:tcW w:w="1807" w:type="pct"/>
            <w:tcBorders>
              <w:top w:val="nil"/>
              <w:left w:val="nil"/>
              <w:bottom w:val="single" w:sz="4"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 xml:space="preserve">Avanzo/Disavanzo economico </w:t>
            </w:r>
            <w:proofErr w:type="spellStart"/>
            <w:r w:rsidRPr="00572C9C">
              <w:rPr>
                <w:rFonts w:ascii="Calibri" w:eastAsia="Times New Roman" w:hAnsi="Calibri" w:cs="Times New Roman"/>
                <w:sz w:val="12"/>
                <w:szCs w:val="12"/>
                <w:lang w:eastAsia="it-IT"/>
              </w:rPr>
              <w:t>dell</w:t>
            </w:r>
            <w:proofErr w:type="spellEnd"/>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4.676.953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4.901.050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9.328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4.146.957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6.952.581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12.741.891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FF0000"/>
                <w:sz w:val="12"/>
                <w:szCs w:val="12"/>
                <w:lang w:eastAsia="it-IT"/>
              </w:rPr>
            </w:pPr>
            <w:r w:rsidRPr="00572C9C">
              <w:rPr>
                <w:rFonts w:ascii="Arial" w:eastAsia="Times New Roman" w:hAnsi="Arial" w:cs="Arial"/>
                <w:color w:val="FF0000"/>
                <w:sz w:val="12"/>
                <w:szCs w:val="12"/>
                <w:lang w:eastAsia="it-IT"/>
              </w:rPr>
              <w:t xml:space="preserve">-  16.496.045 </w:t>
            </w:r>
          </w:p>
        </w:tc>
      </w:tr>
      <w:tr w:rsidR="00572C9C" w:rsidRPr="00572C9C" w:rsidTr="00572C9C">
        <w:trPr>
          <w:trHeight w:val="330"/>
        </w:trPr>
        <w:tc>
          <w:tcPr>
            <w:tcW w:w="237" w:type="pct"/>
            <w:tcBorders>
              <w:top w:val="nil"/>
              <w:left w:val="single" w:sz="8" w:space="0" w:color="auto"/>
              <w:bottom w:val="single" w:sz="8" w:space="0" w:color="auto"/>
              <w:right w:val="single" w:sz="4" w:space="0" w:color="auto"/>
            </w:tcBorders>
            <w:shd w:val="clear" w:color="000000" w:fill="FFFFCC"/>
            <w:noWrap/>
            <w:vAlign w:val="bottom"/>
            <w:hideMark/>
          </w:tcPr>
          <w:p w:rsidR="00572C9C" w:rsidRPr="00572C9C" w:rsidRDefault="00572C9C" w:rsidP="00572C9C">
            <w:pPr>
              <w:spacing w:after="0" w:line="240" w:lineRule="auto"/>
              <w:jc w:val="right"/>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203000</w:t>
            </w:r>
          </w:p>
        </w:tc>
        <w:tc>
          <w:tcPr>
            <w:tcW w:w="1807" w:type="pct"/>
            <w:tcBorders>
              <w:top w:val="nil"/>
              <w:left w:val="nil"/>
              <w:bottom w:val="single" w:sz="8" w:space="0" w:color="auto"/>
              <w:right w:val="single" w:sz="8" w:space="0" w:color="auto"/>
            </w:tcBorders>
            <w:shd w:val="clear" w:color="000000" w:fill="FFFFCC"/>
            <w:noWrap/>
            <w:vAlign w:val="bottom"/>
            <w:hideMark/>
          </w:tcPr>
          <w:p w:rsidR="00572C9C" w:rsidRPr="00572C9C" w:rsidRDefault="00572C9C" w:rsidP="00572C9C">
            <w:pPr>
              <w:spacing w:after="0" w:line="240" w:lineRule="auto"/>
              <w:rPr>
                <w:rFonts w:ascii="Calibri" w:eastAsia="Times New Roman" w:hAnsi="Calibri" w:cs="Times New Roman"/>
                <w:sz w:val="12"/>
                <w:szCs w:val="12"/>
                <w:lang w:eastAsia="it-IT"/>
              </w:rPr>
            </w:pPr>
            <w:r w:rsidRPr="00572C9C">
              <w:rPr>
                <w:rFonts w:ascii="Calibri" w:eastAsia="Times New Roman" w:hAnsi="Calibri" w:cs="Times New Roman"/>
                <w:sz w:val="12"/>
                <w:szCs w:val="12"/>
                <w:lang w:eastAsia="it-IT"/>
              </w:rPr>
              <w:t>Fondo Riserva partecipazioni</w:t>
            </w:r>
          </w:p>
        </w:tc>
        <w:tc>
          <w:tcPr>
            <w:tcW w:w="415" w:type="pct"/>
            <w:tcBorders>
              <w:top w:val="nil"/>
              <w:left w:val="nil"/>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4.725.680 </w:t>
            </w:r>
          </w:p>
        </w:tc>
        <w:tc>
          <w:tcPr>
            <w:tcW w:w="415"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4.603.551 </w:t>
            </w:r>
          </w:p>
        </w:tc>
        <w:tc>
          <w:tcPr>
            <w:tcW w:w="396"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4.587.423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4.873.406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4.875.283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4.875.283 </w:t>
            </w:r>
          </w:p>
        </w:tc>
        <w:tc>
          <w:tcPr>
            <w:tcW w:w="433" w:type="pct"/>
            <w:tcBorders>
              <w:top w:val="nil"/>
              <w:left w:val="dashed" w:sz="4" w:space="0" w:color="auto"/>
              <w:bottom w:val="dashed" w:sz="4"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sz w:val="12"/>
                <w:szCs w:val="12"/>
                <w:lang w:eastAsia="it-IT"/>
              </w:rPr>
            </w:pPr>
            <w:r w:rsidRPr="00572C9C">
              <w:rPr>
                <w:rFonts w:ascii="Arial" w:eastAsia="Times New Roman" w:hAnsi="Arial" w:cs="Arial"/>
                <w:sz w:val="12"/>
                <w:szCs w:val="12"/>
                <w:lang w:eastAsia="it-IT"/>
              </w:rPr>
              <w:t xml:space="preserve">     4.875.283 </w:t>
            </w:r>
          </w:p>
        </w:tc>
      </w:tr>
      <w:tr w:rsidR="00572C9C" w:rsidRPr="00572C9C" w:rsidTr="00572C9C">
        <w:trPr>
          <w:trHeight w:val="315"/>
        </w:trPr>
        <w:tc>
          <w:tcPr>
            <w:tcW w:w="237" w:type="pct"/>
            <w:tcBorders>
              <w:top w:val="nil"/>
              <w:left w:val="dashed" w:sz="4" w:space="0" w:color="auto"/>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w:t>
            </w:r>
          </w:p>
        </w:tc>
        <w:tc>
          <w:tcPr>
            <w:tcW w:w="1807" w:type="pct"/>
            <w:tcBorders>
              <w:top w:val="nil"/>
              <w:left w:val="nil"/>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TOT CAPITALE NETTO</w:t>
            </w:r>
          </w:p>
        </w:tc>
        <w:tc>
          <w:tcPr>
            <w:tcW w:w="415" w:type="pct"/>
            <w:tcBorders>
              <w:top w:val="single" w:sz="8" w:space="0" w:color="auto"/>
              <w:left w:val="single" w:sz="8"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93.738.152 </w:t>
            </w:r>
          </w:p>
        </w:tc>
        <w:tc>
          <w:tcPr>
            <w:tcW w:w="415"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98.517.073 </w:t>
            </w:r>
          </w:p>
        </w:tc>
        <w:tc>
          <w:tcPr>
            <w:tcW w:w="396"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98.510.273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102.943.213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109.897.670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97.155.779 </w:t>
            </w:r>
          </w:p>
        </w:tc>
        <w:tc>
          <w:tcPr>
            <w:tcW w:w="433" w:type="pct"/>
            <w:tcBorders>
              <w:top w:val="single" w:sz="8" w:space="0" w:color="auto"/>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sz w:val="12"/>
                <w:szCs w:val="12"/>
                <w:lang w:eastAsia="it-IT"/>
              </w:rPr>
            </w:pPr>
            <w:r w:rsidRPr="00572C9C">
              <w:rPr>
                <w:rFonts w:ascii="Arial" w:eastAsia="Times New Roman" w:hAnsi="Arial" w:cs="Arial"/>
                <w:b/>
                <w:bCs/>
                <w:sz w:val="12"/>
                <w:szCs w:val="12"/>
                <w:lang w:eastAsia="it-IT"/>
              </w:rPr>
              <w:t xml:space="preserve">   80.659.734 </w:t>
            </w:r>
          </w:p>
        </w:tc>
      </w:tr>
      <w:tr w:rsidR="00572C9C" w:rsidRPr="00572C9C" w:rsidTr="00572C9C">
        <w:trPr>
          <w:trHeight w:val="330"/>
        </w:trPr>
        <w:tc>
          <w:tcPr>
            <w:tcW w:w="237" w:type="pct"/>
            <w:tcBorders>
              <w:top w:val="nil"/>
              <w:left w:val="nil"/>
              <w:bottom w:val="nil"/>
              <w:right w:val="nil"/>
            </w:tcBorders>
            <w:shd w:val="clear" w:color="auto" w:fill="auto"/>
            <w:noWrap/>
            <w:vAlign w:val="bottom"/>
            <w:hideMark/>
          </w:tcPr>
          <w:p w:rsidR="00572C9C" w:rsidRPr="00572C9C" w:rsidRDefault="00572C9C" w:rsidP="00572C9C">
            <w:pPr>
              <w:spacing w:after="0" w:line="240" w:lineRule="auto"/>
              <w:rPr>
                <w:rFonts w:ascii="Courier New" w:eastAsia="Times New Roman" w:hAnsi="Courier New" w:cs="Courier New"/>
                <w:color w:val="000000"/>
                <w:sz w:val="12"/>
                <w:szCs w:val="12"/>
                <w:lang w:eastAsia="it-IT"/>
              </w:rPr>
            </w:pPr>
          </w:p>
        </w:tc>
        <w:tc>
          <w:tcPr>
            <w:tcW w:w="1807" w:type="pct"/>
            <w:tcBorders>
              <w:top w:val="nil"/>
              <w:left w:val="nil"/>
              <w:bottom w:val="nil"/>
              <w:right w:val="nil"/>
            </w:tcBorders>
            <w:shd w:val="clear" w:color="auto" w:fill="auto"/>
            <w:noWrap/>
            <w:vAlign w:val="bottom"/>
            <w:hideMark/>
          </w:tcPr>
          <w:p w:rsidR="00572C9C" w:rsidRPr="00572C9C" w:rsidRDefault="00572C9C" w:rsidP="00572C9C">
            <w:pPr>
              <w:spacing w:after="0" w:line="240" w:lineRule="auto"/>
              <w:rPr>
                <w:rFonts w:ascii="Arial Narrow" w:eastAsia="Times New Roman" w:hAnsi="Arial Narrow" w:cs="Times New Roman"/>
                <w:color w:val="000000"/>
                <w:sz w:val="12"/>
                <w:szCs w:val="12"/>
                <w:lang w:eastAsia="it-IT"/>
              </w:rPr>
            </w:pPr>
          </w:p>
        </w:tc>
        <w:tc>
          <w:tcPr>
            <w:tcW w:w="415"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15"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396"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r>
      <w:tr w:rsidR="00572C9C" w:rsidRPr="00572C9C" w:rsidTr="00572C9C">
        <w:trPr>
          <w:trHeight w:val="375"/>
        </w:trPr>
        <w:tc>
          <w:tcPr>
            <w:tcW w:w="2043" w:type="pct"/>
            <w:gridSpan w:val="2"/>
            <w:tcBorders>
              <w:top w:val="nil"/>
              <w:left w:val="nil"/>
              <w:bottom w:val="nil"/>
              <w:right w:val="nil"/>
            </w:tcBorders>
            <w:shd w:val="clear" w:color="auto" w:fill="auto"/>
            <w:noWrap/>
            <w:vAlign w:val="bottom"/>
            <w:hideMark/>
          </w:tcPr>
          <w:p w:rsidR="00572C9C" w:rsidRPr="00572C9C" w:rsidRDefault="00572C9C" w:rsidP="00572C9C">
            <w:pPr>
              <w:spacing w:after="0" w:line="240" w:lineRule="auto"/>
              <w:rPr>
                <w:rFonts w:ascii="Arial Narrow" w:eastAsia="Times New Roman" w:hAnsi="Arial Narrow" w:cs="Times New Roman"/>
                <w:color w:val="000000"/>
                <w:sz w:val="12"/>
                <w:szCs w:val="12"/>
                <w:lang w:eastAsia="it-IT"/>
              </w:rPr>
            </w:pPr>
            <w:r w:rsidRPr="00572C9C">
              <w:rPr>
                <w:rFonts w:ascii="Arial Narrow" w:eastAsia="Times New Roman" w:hAnsi="Arial Narrow" w:cs="Times New Roman"/>
                <w:color w:val="000000"/>
                <w:sz w:val="12"/>
                <w:szCs w:val="12"/>
                <w:lang w:eastAsia="it-IT"/>
              </w:rPr>
              <w:t>Il margine di struttura è dato dalla seguente differenza:</w:t>
            </w:r>
          </w:p>
        </w:tc>
        <w:tc>
          <w:tcPr>
            <w:tcW w:w="415"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15"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396"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r>
      <w:tr w:rsidR="00572C9C" w:rsidRPr="00572C9C" w:rsidTr="00572C9C">
        <w:trPr>
          <w:trHeight w:val="210"/>
        </w:trPr>
        <w:tc>
          <w:tcPr>
            <w:tcW w:w="237" w:type="pct"/>
            <w:tcBorders>
              <w:top w:val="nil"/>
              <w:left w:val="nil"/>
              <w:bottom w:val="nil"/>
              <w:right w:val="nil"/>
            </w:tcBorders>
            <w:shd w:val="clear" w:color="auto" w:fill="auto"/>
            <w:noWrap/>
            <w:vAlign w:val="bottom"/>
            <w:hideMark/>
          </w:tcPr>
          <w:p w:rsidR="00572C9C" w:rsidRPr="00572C9C" w:rsidRDefault="00572C9C" w:rsidP="00572C9C">
            <w:pPr>
              <w:spacing w:after="0" w:line="240" w:lineRule="auto"/>
              <w:rPr>
                <w:rFonts w:ascii="Arial Narrow" w:eastAsia="Times New Roman" w:hAnsi="Arial Narrow" w:cs="Times New Roman"/>
                <w:color w:val="000000"/>
                <w:sz w:val="12"/>
                <w:szCs w:val="12"/>
                <w:lang w:eastAsia="it-IT"/>
              </w:rPr>
            </w:pPr>
          </w:p>
        </w:tc>
        <w:tc>
          <w:tcPr>
            <w:tcW w:w="1807" w:type="pct"/>
            <w:tcBorders>
              <w:top w:val="nil"/>
              <w:left w:val="nil"/>
              <w:bottom w:val="nil"/>
              <w:right w:val="nil"/>
            </w:tcBorders>
            <w:shd w:val="clear" w:color="auto" w:fill="auto"/>
            <w:noWrap/>
            <w:vAlign w:val="bottom"/>
            <w:hideMark/>
          </w:tcPr>
          <w:p w:rsidR="00572C9C" w:rsidRPr="00572C9C" w:rsidRDefault="00572C9C" w:rsidP="00572C9C">
            <w:pPr>
              <w:spacing w:after="0" w:line="240" w:lineRule="auto"/>
              <w:rPr>
                <w:rFonts w:ascii="Arial Narrow" w:eastAsia="Times New Roman" w:hAnsi="Arial Narrow" w:cs="Times New Roman"/>
                <w:color w:val="000000"/>
                <w:sz w:val="12"/>
                <w:szCs w:val="12"/>
                <w:lang w:eastAsia="it-IT"/>
              </w:rPr>
            </w:pPr>
          </w:p>
        </w:tc>
        <w:tc>
          <w:tcPr>
            <w:tcW w:w="415"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15"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396"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c>
          <w:tcPr>
            <w:tcW w:w="433" w:type="pct"/>
            <w:tcBorders>
              <w:top w:val="nil"/>
              <w:left w:val="nil"/>
              <w:bottom w:val="nil"/>
              <w:right w:val="nil"/>
            </w:tcBorders>
            <w:shd w:val="clear" w:color="auto" w:fill="auto"/>
            <w:noWrap/>
            <w:vAlign w:val="center"/>
            <w:hideMark/>
          </w:tcPr>
          <w:p w:rsidR="00572C9C" w:rsidRPr="00572C9C" w:rsidRDefault="00572C9C" w:rsidP="00572C9C">
            <w:pPr>
              <w:spacing w:after="0" w:line="240" w:lineRule="auto"/>
              <w:jc w:val="right"/>
              <w:rPr>
                <w:rFonts w:ascii="Arial Narrow" w:eastAsia="Times New Roman" w:hAnsi="Arial Narrow" w:cs="Times New Roman"/>
                <w:color w:val="000000"/>
                <w:sz w:val="12"/>
                <w:szCs w:val="12"/>
                <w:lang w:eastAsia="it-IT"/>
              </w:rPr>
            </w:pPr>
          </w:p>
        </w:tc>
      </w:tr>
      <w:tr w:rsidR="00572C9C" w:rsidRPr="00572C9C" w:rsidTr="00572C9C">
        <w:trPr>
          <w:trHeight w:val="330"/>
        </w:trPr>
        <w:tc>
          <w:tcPr>
            <w:tcW w:w="2043" w:type="pct"/>
            <w:gridSpan w:val="2"/>
            <w:tcBorders>
              <w:top w:val="single" w:sz="8" w:space="0" w:color="auto"/>
              <w:left w:val="single" w:sz="8" w:space="0" w:color="auto"/>
              <w:bottom w:val="single" w:sz="8"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Margine di Struttura  = PN + PC - AF</w:t>
            </w:r>
          </w:p>
        </w:tc>
        <w:tc>
          <w:tcPr>
            <w:tcW w:w="415" w:type="pct"/>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2008</w:t>
            </w:r>
          </w:p>
        </w:tc>
        <w:tc>
          <w:tcPr>
            <w:tcW w:w="415" w:type="pct"/>
            <w:tcBorders>
              <w:top w:val="single" w:sz="8" w:space="0" w:color="auto"/>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2009</w:t>
            </w:r>
          </w:p>
        </w:tc>
        <w:tc>
          <w:tcPr>
            <w:tcW w:w="396" w:type="pct"/>
            <w:tcBorders>
              <w:top w:val="single" w:sz="8" w:space="0" w:color="auto"/>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2010</w:t>
            </w:r>
          </w:p>
        </w:tc>
        <w:tc>
          <w:tcPr>
            <w:tcW w:w="433" w:type="pct"/>
            <w:tcBorders>
              <w:top w:val="single" w:sz="8" w:space="0" w:color="auto"/>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2011</w:t>
            </w:r>
          </w:p>
        </w:tc>
        <w:tc>
          <w:tcPr>
            <w:tcW w:w="433" w:type="pct"/>
            <w:tcBorders>
              <w:top w:val="single" w:sz="8" w:space="0" w:color="auto"/>
              <w:left w:val="nil"/>
              <w:bottom w:val="single" w:sz="8" w:space="0" w:color="auto"/>
              <w:right w:val="single" w:sz="8" w:space="0" w:color="auto"/>
            </w:tcBorders>
            <w:shd w:val="clear" w:color="000000" w:fill="FFFFCC"/>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2012</w:t>
            </w:r>
          </w:p>
        </w:tc>
        <w:tc>
          <w:tcPr>
            <w:tcW w:w="433" w:type="pct"/>
            <w:tcBorders>
              <w:top w:val="single" w:sz="8" w:space="0" w:color="auto"/>
              <w:left w:val="nil"/>
              <w:bottom w:val="single" w:sz="8" w:space="0" w:color="auto"/>
              <w:right w:val="single" w:sz="8" w:space="0" w:color="auto"/>
            </w:tcBorders>
            <w:shd w:val="clear" w:color="000000" w:fill="FFFFCC"/>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2013</w:t>
            </w:r>
          </w:p>
        </w:tc>
        <w:tc>
          <w:tcPr>
            <w:tcW w:w="433" w:type="pct"/>
            <w:tcBorders>
              <w:top w:val="single" w:sz="8" w:space="0" w:color="auto"/>
              <w:left w:val="nil"/>
              <w:bottom w:val="single" w:sz="8" w:space="0" w:color="auto"/>
              <w:right w:val="single" w:sz="8" w:space="0" w:color="auto"/>
            </w:tcBorders>
            <w:shd w:val="clear" w:color="000000" w:fill="FFFFCC"/>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2014</w:t>
            </w:r>
          </w:p>
        </w:tc>
      </w:tr>
      <w:tr w:rsidR="00572C9C" w:rsidRPr="00572C9C" w:rsidTr="00572C9C">
        <w:trPr>
          <w:trHeight w:val="330"/>
        </w:trPr>
        <w:tc>
          <w:tcPr>
            <w:tcW w:w="2043" w:type="pct"/>
            <w:gridSpan w:val="2"/>
            <w:tcBorders>
              <w:top w:val="single" w:sz="8" w:space="0" w:color="auto"/>
              <w:left w:val="single" w:sz="8" w:space="0" w:color="auto"/>
              <w:bottom w:val="single" w:sz="8"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Patrimonio Netto</w:t>
            </w:r>
          </w:p>
        </w:tc>
        <w:tc>
          <w:tcPr>
            <w:tcW w:w="415" w:type="pct"/>
            <w:tcBorders>
              <w:top w:val="nil"/>
              <w:left w:val="single" w:sz="8" w:space="0" w:color="auto"/>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93.738.152</w:t>
            </w:r>
          </w:p>
        </w:tc>
        <w:tc>
          <w:tcPr>
            <w:tcW w:w="415"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98.517.073</w:t>
            </w:r>
          </w:p>
        </w:tc>
        <w:tc>
          <w:tcPr>
            <w:tcW w:w="396"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98.510.273</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102.943.213</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109.897.670</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97.155.779</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80.659.734</w:t>
            </w:r>
          </w:p>
        </w:tc>
      </w:tr>
      <w:tr w:rsidR="00572C9C" w:rsidRPr="00572C9C" w:rsidTr="00572C9C">
        <w:trPr>
          <w:trHeight w:val="330"/>
        </w:trPr>
        <w:tc>
          <w:tcPr>
            <w:tcW w:w="2043" w:type="pct"/>
            <w:gridSpan w:val="2"/>
            <w:tcBorders>
              <w:top w:val="single" w:sz="8" w:space="0" w:color="auto"/>
              <w:left w:val="single" w:sz="8" w:space="0" w:color="auto"/>
              <w:bottom w:val="single" w:sz="8"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Passivo consolidato</w:t>
            </w:r>
          </w:p>
        </w:tc>
        <w:tc>
          <w:tcPr>
            <w:tcW w:w="415" w:type="pct"/>
            <w:tcBorders>
              <w:top w:val="nil"/>
              <w:left w:val="single" w:sz="8" w:space="0" w:color="auto"/>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11.399.238</w:t>
            </w:r>
          </w:p>
        </w:tc>
        <w:tc>
          <w:tcPr>
            <w:tcW w:w="415"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10.055.514</w:t>
            </w:r>
          </w:p>
        </w:tc>
        <w:tc>
          <w:tcPr>
            <w:tcW w:w="396"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8.975.259</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6.501.164</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7.580.803</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7.580.803</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7.580.803</w:t>
            </w:r>
          </w:p>
        </w:tc>
      </w:tr>
      <w:tr w:rsidR="00572C9C" w:rsidRPr="00572C9C" w:rsidTr="00572C9C">
        <w:trPr>
          <w:trHeight w:val="330"/>
        </w:trPr>
        <w:tc>
          <w:tcPr>
            <w:tcW w:w="2043" w:type="pct"/>
            <w:gridSpan w:val="2"/>
            <w:tcBorders>
              <w:top w:val="single" w:sz="8" w:space="0" w:color="auto"/>
              <w:left w:val="single" w:sz="8" w:space="0" w:color="auto"/>
              <w:bottom w:val="single" w:sz="8" w:space="0" w:color="auto"/>
              <w:right w:val="nil"/>
            </w:tcBorders>
            <w:shd w:val="clear" w:color="000000" w:fill="FFFFCC"/>
            <w:noWrap/>
            <w:vAlign w:val="bottom"/>
            <w:hideMark/>
          </w:tcPr>
          <w:p w:rsidR="00572C9C" w:rsidRPr="00572C9C" w:rsidRDefault="00572C9C" w:rsidP="00572C9C">
            <w:pPr>
              <w:spacing w:after="0" w:line="240" w:lineRule="auto"/>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lastRenderedPageBreak/>
              <w:t>Attivo Fisso</w:t>
            </w:r>
          </w:p>
        </w:tc>
        <w:tc>
          <w:tcPr>
            <w:tcW w:w="415" w:type="pct"/>
            <w:tcBorders>
              <w:top w:val="nil"/>
              <w:left w:val="single" w:sz="8" w:space="0" w:color="auto"/>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58.348.149</w:t>
            </w:r>
          </w:p>
        </w:tc>
        <w:tc>
          <w:tcPr>
            <w:tcW w:w="415"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49.970.518</w:t>
            </w:r>
          </w:p>
        </w:tc>
        <w:tc>
          <w:tcPr>
            <w:tcW w:w="396"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49.478.652</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49.918.653</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50.069.283</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55.299.360</w:t>
            </w:r>
          </w:p>
        </w:tc>
        <w:tc>
          <w:tcPr>
            <w:tcW w:w="433" w:type="pct"/>
            <w:tcBorders>
              <w:top w:val="nil"/>
              <w:left w:val="nil"/>
              <w:bottom w:val="single" w:sz="8" w:space="0" w:color="auto"/>
              <w:right w:val="single" w:sz="8" w:space="0" w:color="auto"/>
            </w:tcBorders>
            <w:shd w:val="clear" w:color="000000" w:fill="FFFFCC"/>
            <w:noWrap/>
            <w:vAlign w:val="center"/>
            <w:hideMark/>
          </w:tcPr>
          <w:p w:rsidR="00572C9C" w:rsidRPr="00572C9C" w:rsidRDefault="00572C9C" w:rsidP="00572C9C">
            <w:pPr>
              <w:spacing w:after="0" w:line="240" w:lineRule="auto"/>
              <w:jc w:val="right"/>
              <w:rPr>
                <w:rFonts w:ascii="Arial" w:eastAsia="Times New Roman" w:hAnsi="Arial" w:cs="Arial"/>
                <w:color w:val="000000"/>
                <w:sz w:val="12"/>
                <w:szCs w:val="12"/>
                <w:lang w:eastAsia="it-IT"/>
              </w:rPr>
            </w:pPr>
            <w:r w:rsidRPr="00572C9C">
              <w:rPr>
                <w:rFonts w:ascii="Arial" w:eastAsia="Times New Roman" w:hAnsi="Arial" w:cs="Arial"/>
                <w:color w:val="000000"/>
                <w:sz w:val="12"/>
                <w:szCs w:val="12"/>
                <w:lang w:eastAsia="it-IT"/>
              </w:rPr>
              <w:t>54.645.301</w:t>
            </w:r>
          </w:p>
        </w:tc>
      </w:tr>
      <w:tr w:rsidR="00572C9C" w:rsidRPr="00572C9C" w:rsidTr="00572C9C">
        <w:trPr>
          <w:trHeight w:val="330"/>
        </w:trPr>
        <w:tc>
          <w:tcPr>
            <w:tcW w:w="2043" w:type="pct"/>
            <w:gridSpan w:val="2"/>
            <w:tcBorders>
              <w:top w:val="single" w:sz="8" w:space="0" w:color="auto"/>
              <w:left w:val="single" w:sz="8" w:space="0" w:color="auto"/>
              <w:bottom w:val="single" w:sz="8" w:space="0" w:color="auto"/>
              <w:right w:val="nil"/>
            </w:tcBorders>
            <w:shd w:val="clear" w:color="000000" w:fill="948B54"/>
            <w:noWrap/>
            <w:vAlign w:val="bottom"/>
            <w:hideMark/>
          </w:tcPr>
          <w:p w:rsidR="00572C9C" w:rsidRPr="00572C9C" w:rsidRDefault="00572C9C" w:rsidP="00572C9C">
            <w:pPr>
              <w:spacing w:after="0" w:line="240" w:lineRule="auto"/>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Margine di Struttura</w:t>
            </w:r>
          </w:p>
        </w:tc>
        <w:tc>
          <w:tcPr>
            <w:tcW w:w="415" w:type="pct"/>
            <w:tcBorders>
              <w:top w:val="nil"/>
              <w:left w:val="single" w:sz="8" w:space="0" w:color="auto"/>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46.789.241</w:t>
            </w:r>
          </w:p>
        </w:tc>
        <w:tc>
          <w:tcPr>
            <w:tcW w:w="415" w:type="pct"/>
            <w:tcBorders>
              <w:top w:val="nil"/>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58.602.069</w:t>
            </w:r>
          </w:p>
        </w:tc>
        <w:tc>
          <w:tcPr>
            <w:tcW w:w="396" w:type="pct"/>
            <w:tcBorders>
              <w:top w:val="nil"/>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58.006.879</w:t>
            </w:r>
          </w:p>
        </w:tc>
        <w:tc>
          <w:tcPr>
            <w:tcW w:w="433" w:type="pct"/>
            <w:tcBorders>
              <w:top w:val="nil"/>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59.525.723</w:t>
            </w:r>
          </w:p>
        </w:tc>
        <w:tc>
          <w:tcPr>
            <w:tcW w:w="433" w:type="pct"/>
            <w:tcBorders>
              <w:top w:val="nil"/>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67.409.191</w:t>
            </w:r>
          </w:p>
        </w:tc>
        <w:tc>
          <w:tcPr>
            <w:tcW w:w="433" w:type="pct"/>
            <w:tcBorders>
              <w:top w:val="nil"/>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49.437.222</w:t>
            </w:r>
          </w:p>
        </w:tc>
        <w:tc>
          <w:tcPr>
            <w:tcW w:w="433" w:type="pct"/>
            <w:tcBorders>
              <w:top w:val="nil"/>
              <w:left w:val="nil"/>
              <w:bottom w:val="single" w:sz="8" w:space="0" w:color="auto"/>
              <w:right w:val="single" w:sz="8" w:space="0" w:color="auto"/>
            </w:tcBorders>
            <w:shd w:val="clear" w:color="000000" w:fill="948B54"/>
            <w:noWrap/>
            <w:vAlign w:val="center"/>
            <w:hideMark/>
          </w:tcPr>
          <w:p w:rsidR="00572C9C" w:rsidRPr="00572C9C" w:rsidRDefault="00572C9C" w:rsidP="00572C9C">
            <w:pPr>
              <w:spacing w:after="0" w:line="240" w:lineRule="auto"/>
              <w:jc w:val="right"/>
              <w:rPr>
                <w:rFonts w:ascii="Arial" w:eastAsia="Times New Roman" w:hAnsi="Arial" w:cs="Arial"/>
                <w:b/>
                <w:bCs/>
                <w:color w:val="000000"/>
                <w:sz w:val="12"/>
                <w:szCs w:val="12"/>
                <w:lang w:eastAsia="it-IT"/>
              </w:rPr>
            </w:pPr>
            <w:r w:rsidRPr="00572C9C">
              <w:rPr>
                <w:rFonts w:ascii="Arial" w:eastAsia="Times New Roman" w:hAnsi="Arial" w:cs="Arial"/>
                <w:b/>
                <w:bCs/>
                <w:color w:val="000000"/>
                <w:sz w:val="12"/>
                <w:szCs w:val="12"/>
                <w:lang w:eastAsia="it-IT"/>
              </w:rPr>
              <w:t>33.595.236</w:t>
            </w:r>
          </w:p>
        </w:tc>
      </w:tr>
    </w:tbl>
    <w:p w:rsidR="00A17A39" w:rsidRDefault="00A17A39"/>
    <w:p w:rsidR="00A17A39" w:rsidRPr="003571CD" w:rsidRDefault="00A17A39" w:rsidP="00A17A39">
      <w:pPr>
        <w:spacing w:before="100" w:beforeAutospacing="1" w:after="100" w:afterAutospacing="1"/>
        <w:jc w:val="both"/>
        <w:rPr>
          <w:rFonts w:ascii="Times New Roman" w:hAnsi="Times New Roman"/>
          <w:color w:val="000000"/>
        </w:rPr>
      </w:pPr>
      <w:r w:rsidRPr="003571CD">
        <w:rPr>
          <w:rFonts w:ascii="Times New Roman" w:hAnsi="Times New Roman"/>
          <w:color w:val="000000"/>
        </w:rPr>
        <w:tab/>
        <w:t xml:space="preserve">Un margine di struttura positivo indica una situazione strutturale ottima tra </w:t>
      </w:r>
      <w:r w:rsidRPr="003571CD">
        <w:rPr>
          <w:rFonts w:ascii="Times New Roman" w:hAnsi="Times New Roman"/>
          <w:b/>
          <w:bCs/>
          <w:color w:val="000000"/>
        </w:rPr>
        <w:t xml:space="preserve">Attivo circolante/Passivo corrente </w:t>
      </w:r>
      <w:r w:rsidRPr="003571CD">
        <w:rPr>
          <w:rFonts w:ascii="Times New Roman" w:hAnsi="Times New Roman"/>
          <w:color w:val="000000"/>
        </w:rPr>
        <w:t>che garantisce la copertura degli investimenti (attivo fisso) con mezzi propri (in larga parte il patrimonio netto prodotto, talora, anche da risultati economici positivi delle gestioni precedenti) ovvero un surplus di risorse stabili rispetto agli investimenti di più lento recupero.</w:t>
      </w:r>
    </w:p>
    <w:p w:rsidR="00A17A39" w:rsidRPr="003571CD" w:rsidRDefault="00A17A39" w:rsidP="00A17A39">
      <w:pPr>
        <w:spacing w:before="100" w:beforeAutospacing="1" w:after="100" w:afterAutospacing="1"/>
        <w:jc w:val="both"/>
        <w:rPr>
          <w:rFonts w:ascii="Times New Roman" w:hAnsi="Times New Roman"/>
          <w:color w:val="000000"/>
        </w:rPr>
      </w:pPr>
      <w:r w:rsidRPr="003571CD">
        <w:rPr>
          <w:rFonts w:ascii="Times New Roman" w:hAnsi="Times New Roman"/>
          <w:color w:val="000000"/>
        </w:rPr>
        <w:t>Di seguito i grafici della composizione delle varie componenti del margine:</w:t>
      </w:r>
    </w:p>
    <w:p w:rsidR="00A17A39" w:rsidRDefault="00244CE8" w:rsidP="00A17A39">
      <w:pPr>
        <w:spacing w:before="100" w:beforeAutospacing="1" w:after="100" w:afterAutospacing="1"/>
        <w:jc w:val="both"/>
        <w:rPr>
          <w:rFonts w:cs="Tunga"/>
          <w:color w:val="000000"/>
        </w:rPr>
      </w:pPr>
      <w:r w:rsidRPr="00A17A39">
        <w:rPr>
          <w:noProof/>
          <w:lang w:eastAsia="it-IT"/>
        </w:rPr>
        <w:drawing>
          <wp:inline distT="0" distB="0" distL="0" distR="0">
            <wp:extent cx="6120130" cy="2209800"/>
            <wp:effectExtent l="19050" t="0" r="1397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7A39" w:rsidRDefault="00A17A39" w:rsidP="00A17A39">
      <w:pPr>
        <w:jc w:val="both"/>
      </w:pPr>
      <w:r w:rsidRPr="00A17A39">
        <w:rPr>
          <w:noProof/>
          <w:lang w:eastAsia="it-IT"/>
        </w:rPr>
        <w:drawing>
          <wp:inline distT="0" distB="0" distL="0" distR="0">
            <wp:extent cx="6120130" cy="2712757"/>
            <wp:effectExtent l="19050" t="0" r="1397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7A39" w:rsidRDefault="00572C9C" w:rsidP="00A17A39">
      <w:pPr>
        <w:jc w:val="both"/>
      </w:pPr>
      <w:r w:rsidRPr="00572C9C">
        <w:rPr>
          <w:noProof/>
          <w:lang w:eastAsia="it-IT"/>
        </w:rPr>
        <w:lastRenderedPageBreak/>
        <w:drawing>
          <wp:inline distT="0" distB="0" distL="0" distR="0">
            <wp:extent cx="6120130" cy="2952750"/>
            <wp:effectExtent l="19050" t="0" r="1397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7A39" w:rsidRDefault="00572C9C" w:rsidP="00A17A39">
      <w:pPr>
        <w:jc w:val="both"/>
      </w:pPr>
      <w:r w:rsidRPr="00572C9C">
        <w:rPr>
          <w:noProof/>
          <w:lang w:eastAsia="it-IT"/>
        </w:rPr>
        <w:drawing>
          <wp:inline distT="0" distB="0" distL="0" distR="0">
            <wp:extent cx="6120130" cy="2409825"/>
            <wp:effectExtent l="19050" t="0" r="13970" b="0"/>
            <wp:docPr id="16"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7A39" w:rsidRDefault="00A17A39" w:rsidP="00A17A39">
      <w:pPr>
        <w:jc w:val="both"/>
      </w:pPr>
      <w:r w:rsidRPr="00A17A39">
        <w:rPr>
          <w:noProof/>
          <w:lang w:eastAsia="it-IT"/>
        </w:rPr>
        <w:drawing>
          <wp:inline distT="0" distB="0" distL="0" distR="0">
            <wp:extent cx="6120130" cy="2179360"/>
            <wp:effectExtent l="19050" t="0" r="1397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7A39" w:rsidRDefault="00572C9C" w:rsidP="00A17A39">
      <w:pPr>
        <w:jc w:val="both"/>
      </w:pPr>
      <w:r w:rsidRPr="00572C9C">
        <w:rPr>
          <w:noProof/>
          <w:lang w:eastAsia="it-IT"/>
        </w:rPr>
        <w:lastRenderedPageBreak/>
        <w:drawing>
          <wp:inline distT="0" distB="0" distL="0" distR="0">
            <wp:extent cx="6120130" cy="3590925"/>
            <wp:effectExtent l="19050" t="0" r="13970" b="0"/>
            <wp:docPr id="17"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7A39" w:rsidRDefault="00572C9C" w:rsidP="00A17A39">
      <w:pPr>
        <w:jc w:val="both"/>
      </w:pPr>
      <w:r w:rsidRPr="00572C9C">
        <w:rPr>
          <w:noProof/>
          <w:lang w:eastAsia="it-IT"/>
        </w:rPr>
        <w:drawing>
          <wp:inline distT="0" distB="0" distL="0" distR="0">
            <wp:extent cx="6120130" cy="3381660"/>
            <wp:effectExtent l="19050" t="0" r="13970" b="9240"/>
            <wp:docPr id="1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2C9C" w:rsidRDefault="00572C9C" w:rsidP="00A17A39">
      <w:pPr>
        <w:spacing w:before="100" w:beforeAutospacing="1" w:after="100" w:afterAutospacing="1"/>
        <w:jc w:val="center"/>
        <w:rPr>
          <w:rFonts w:ascii="Times New Roman" w:hAnsi="Times New Roman"/>
          <w:b/>
          <w:i/>
          <w:noProof/>
          <w:color w:val="000000"/>
          <w:sz w:val="24"/>
          <w:szCs w:val="24"/>
          <w:lang w:eastAsia="it-IT"/>
        </w:rPr>
      </w:pPr>
    </w:p>
    <w:p w:rsidR="00A17A39" w:rsidRPr="0032197E" w:rsidRDefault="00A17A39" w:rsidP="00A17A39">
      <w:pPr>
        <w:spacing w:before="100" w:beforeAutospacing="1" w:after="100" w:afterAutospacing="1"/>
        <w:jc w:val="center"/>
        <w:rPr>
          <w:rFonts w:ascii="Times New Roman" w:hAnsi="Times New Roman"/>
          <w:b/>
          <w:i/>
          <w:noProof/>
          <w:color w:val="000000"/>
          <w:sz w:val="24"/>
          <w:szCs w:val="24"/>
          <w:lang w:eastAsia="it-IT"/>
        </w:rPr>
      </w:pPr>
      <w:r w:rsidRPr="0032197E">
        <w:rPr>
          <w:rFonts w:ascii="Times New Roman" w:hAnsi="Times New Roman"/>
          <w:b/>
          <w:i/>
          <w:noProof/>
          <w:color w:val="000000"/>
          <w:sz w:val="24"/>
          <w:szCs w:val="24"/>
          <w:lang w:eastAsia="it-IT"/>
        </w:rPr>
        <w:t>ANALISI DEI FLUSSI CASSA</w:t>
      </w:r>
    </w:p>
    <w:p w:rsidR="00A17A39" w:rsidRPr="0032197E" w:rsidRDefault="00A17A39" w:rsidP="00A17A39">
      <w:pPr>
        <w:spacing w:before="100" w:beforeAutospacing="1" w:after="100" w:afterAutospacing="1"/>
        <w:jc w:val="both"/>
        <w:rPr>
          <w:rFonts w:ascii="Times New Roman" w:hAnsi="Times New Roman"/>
          <w:color w:val="000000"/>
        </w:rPr>
      </w:pPr>
      <w:r w:rsidRPr="0032197E">
        <w:rPr>
          <w:rFonts w:ascii="Times New Roman" w:hAnsi="Times New Roman"/>
          <w:color w:val="000000"/>
        </w:rPr>
        <w:tab/>
        <w:t>Il Cash Flow è un prospetto che descrive le variazioni di cassa intervenute, in un determinato periodo, nella liquidità di una azienda/Ente per effetto della gestione. Esso corrisponde alla somma algebrica delle variazioni, positive e negative, del conto cassa e dei conti bancari e postali verificatesi nell'esercizio.</w:t>
      </w:r>
    </w:p>
    <w:p w:rsidR="00A17A39" w:rsidRPr="0032197E" w:rsidRDefault="00A17A39" w:rsidP="00A17A39">
      <w:pPr>
        <w:spacing w:before="100" w:beforeAutospacing="1" w:after="100" w:afterAutospacing="1"/>
        <w:jc w:val="both"/>
        <w:rPr>
          <w:rFonts w:ascii="Times New Roman" w:hAnsi="Times New Roman"/>
          <w:color w:val="000000"/>
        </w:rPr>
      </w:pPr>
      <w:r w:rsidRPr="0032197E">
        <w:rPr>
          <w:rFonts w:ascii="Times New Roman" w:hAnsi="Times New Roman"/>
          <w:color w:val="000000"/>
        </w:rPr>
        <w:lastRenderedPageBreak/>
        <w:tab/>
        <w:t xml:space="preserve"> Il cash flow può essere calcolato come differenza tra ricavi e costi monetari di esercizio. Alternativamente il cash flow può essere calcolato sommando al risultato di esercizio, l'ammontare dei costi non monetari e sottraendovi l'ammontare di ricavi non monetari. </w:t>
      </w:r>
    </w:p>
    <w:p w:rsidR="00A17A39" w:rsidRPr="0032197E" w:rsidRDefault="00A17A39" w:rsidP="00A17A39">
      <w:pPr>
        <w:spacing w:before="100" w:beforeAutospacing="1" w:after="100" w:afterAutospacing="1"/>
        <w:jc w:val="both"/>
        <w:rPr>
          <w:rFonts w:ascii="Times New Roman" w:hAnsi="Times New Roman"/>
          <w:color w:val="000000"/>
          <w:sz w:val="24"/>
          <w:szCs w:val="24"/>
        </w:rPr>
      </w:pPr>
      <w:r w:rsidRPr="0032197E">
        <w:rPr>
          <w:rFonts w:ascii="Times New Roman" w:hAnsi="Times New Roman"/>
          <w:color w:val="000000"/>
        </w:rPr>
        <w:tab/>
        <w:t>Se il cash flow è positivo, esso rappresenta la disponibilità finanziaria ottenuta dall'impresa nel periodo di gestione. Tale disponibilità di risorse liquide può essere utilizzata, oltre che per far fronte ai debiti a breve, anche per sostituire i beni capitali consumati nel corso della produzione (ammortamenti) o per realizzare investimenti futuri. Se il cash flow è negativo, risulta evidente che nel corso della gestione in esame, si è verificato una situazione di assorbimento di mezzi finanziari</w:t>
      </w:r>
      <w:r w:rsidRPr="0032197E">
        <w:rPr>
          <w:rFonts w:ascii="Times New Roman" w:eastAsia="Times New Roman" w:hAnsi="Times New Roman"/>
          <w:lang w:eastAsia="it-IT"/>
        </w:rPr>
        <w:t>.</w:t>
      </w:r>
    </w:p>
    <w:tbl>
      <w:tblPr>
        <w:tblW w:w="5000" w:type="pct"/>
        <w:tblCellMar>
          <w:left w:w="70" w:type="dxa"/>
          <w:right w:w="70" w:type="dxa"/>
        </w:tblCellMar>
        <w:tblLook w:val="04A0" w:firstRow="1" w:lastRow="0" w:firstColumn="1" w:lastColumn="0" w:noHBand="0" w:noVBand="1"/>
      </w:tblPr>
      <w:tblGrid>
        <w:gridCol w:w="2299"/>
        <w:gridCol w:w="1173"/>
        <w:gridCol w:w="1244"/>
        <w:gridCol w:w="1302"/>
        <w:gridCol w:w="1302"/>
        <w:gridCol w:w="1230"/>
        <w:gridCol w:w="1228"/>
      </w:tblGrid>
      <w:tr w:rsidR="00ED095B" w:rsidRPr="00ED095B" w:rsidTr="00ED095B">
        <w:trPr>
          <w:trHeight w:val="390"/>
        </w:trPr>
        <w:tc>
          <w:tcPr>
            <w:tcW w:w="5000" w:type="pct"/>
            <w:gridSpan w:val="7"/>
            <w:tcBorders>
              <w:top w:val="single" w:sz="8" w:space="0" w:color="auto"/>
              <w:left w:val="single" w:sz="8" w:space="0" w:color="auto"/>
              <w:bottom w:val="nil"/>
              <w:right w:val="nil"/>
            </w:tcBorders>
            <w:shd w:val="clear" w:color="000000" w:fill="3366FF"/>
            <w:vAlign w:val="center"/>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bookmarkStart w:id="1" w:name="RANGE!A1:J54"/>
            <w:r w:rsidRPr="00ED095B">
              <w:rPr>
                <w:rFonts w:ascii="Futura Bk" w:eastAsia="Times New Roman" w:hAnsi="Futura Bk" w:cs="Arial"/>
                <w:b/>
                <w:bCs/>
                <w:color w:val="FFFFFF"/>
                <w:sz w:val="12"/>
                <w:szCs w:val="12"/>
                <w:lang w:eastAsia="it-IT"/>
              </w:rPr>
              <w:t xml:space="preserve">ANALISI FLUSSI DI CASSA </w:t>
            </w:r>
            <w:bookmarkEnd w:id="1"/>
          </w:p>
        </w:tc>
      </w:tr>
      <w:tr w:rsidR="00ED095B" w:rsidRPr="00ED095B" w:rsidTr="00ED095B">
        <w:trPr>
          <w:trHeight w:val="300"/>
        </w:trPr>
        <w:tc>
          <w:tcPr>
            <w:tcW w:w="1175" w:type="pct"/>
            <w:tcBorders>
              <w:top w:val="single" w:sz="8" w:space="0" w:color="auto"/>
              <w:left w:val="single" w:sz="8" w:space="0" w:color="auto"/>
              <w:bottom w:val="nil"/>
              <w:right w:val="nil"/>
            </w:tcBorders>
            <w:shd w:val="clear" w:color="auto" w:fill="auto"/>
            <w:noWrap/>
            <w:vAlign w:val="bottom"/>
            <w:hideMark/>
          </w:tcPr>
          <w:p w:rsidR="00ED095B" w:rsidRPr="00ED095B" w:rsidRDefault="00ED095B" w:rsidP="00ED095B">
            <w:pPr>
              <w:spacing w:after="0" w:line="240" w:lineRule="auto"/>
              <w:rPr>
                <w:rFonts w:ascii="Futura Bk" w:eastAsia="Times New Roman" w:hAnsi="Futura Bk" w:cs="Arial"/>
                <w:sz w:val="12"/>
                <w:szCs w:val="12"/>
                <w:lang w:eastAsia="it-IT"/>
              </w:rPr>
            </w:pPr>
            <w:r w:rsidRPr="00ED095B">
              <w:rPr>
                <w:rFonts w:ascii="Futura Bk" w:eastAsia="Times New Roman" w:hAnsi="Futura Bk" w:cs="Arial"/>
                <w:sz w:val="12"/>
                <w:szCs w:val="12"/>
                <w:lang w:eastAsia="it-IT"/>
              </w:rPr>
              <w:t> </w:t>
            </w:r>
          </w:p>
        </w:tc>
        <w:tc>
          <w:tcPr>
            <w:tcW w:w="600" w:type="pct"/>
            <w:tcBorders>
              <w:top w:val="single" w:sz="8" w:space="0" w:color="auto"/>
              <w:left w:val="nil"/>
              <w:bottom w:val="nil"/>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2009</w:t>
            </w:r>
          </w:p>
        </w:tc>
        <w:tc>
          <w:tcPr>
            <w:tcW w:w="636" w:type="pct"/>
            <w:tcBorders>
              <w:top w:val="single" w:sz="8" w:space="0" w:color="auto"/>
              <w:left w:val="nil"/>
              <w:bottom w:val="nil"/>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2010</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2011</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2012</w:t>
            </w:r>
          </w:p>
        </w:tc>
        <w:tc>
          <w:tcPr>
            <w:tcW w:w="629" w:type="pct"/>
            <w:tcBorders>
              <w:top w:val="single" w:sz="8" w:space="0" w:color="auto"/>
              <w:left w:val="nil"/>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2013</w:t>
            </w:r>
          </w:p>
        </w:tc>
        <w:tc>
          <w:tcPr>
            <w:tcW w:w="629" w:type="pct"/>
            <w:tcBorders>
              <w:top w:val="single" w:sz="8" w:space="0" w:color="auto"/>
              <w:left w:val="single" w:sz="4" w:space="0" w:color="auto"/>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2014</w:t>
            </w:r>
          </w:p>
        </w:tc>
      </w:tr>
      <w:tr w:rsidR="00ED095B" w:rsidRPr="00ED095B" w:rsidTr="00ED095B">
        <w:trPr>
          <w:trHeight w:val="402"/>
        </w:trPr>
        <w:tc>
          <w:tcPr>
            <w:tcW w:w="117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RICAVI </w:t>
            </w:r>
          </w:p>
        </w:tc>
        <w:tc>
          <w:tcPr>
            <w:tcW w:w="600" w:type="pct"/>
            <w:tcBorders>
              <w:top w:val="single" w:sz="4" w:space="0" w:color="auto"/>
              <w:left w:val="nil"/>
              <w:bottom w:val="nil"/>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single" w:sz="4" w:space="0" w:color="auto"/>
              <w:left w:val="nil"/>
              <w:bottom w:val="nil"/>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Diritto annuale </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48.743,00 </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49.333,90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50.226,96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51.729,44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52.091,01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49.221,34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Diritti segreteria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9.890,00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10.561,40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10.107,06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9.494,69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9.388,46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9.083,00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Contributi e altre entrate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1.721,00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2.982,62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1.383,61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2.389,08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1.809,33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1.505,30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Proventi gestione servizi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456,00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340,24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234,47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203,39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130,00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45,00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Variazione rimanenze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6,44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16,06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71,96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TOTALE RICAVI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60.900,00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63.224,60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61.936,04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63.744,64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63.418,80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59.854,64 </w:t>
            </w:r>
          </w:p>
        </w:tc>
      </w:tr>
      <w:tr w:rsidR="00ED095B" w:rsidRPr="00ED095B" w:rsidTr="00ED095B">
        <w:trPr>
          <w:trHeight w:val="21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COSTI OPERATIVI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Personale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8.076,00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8.728,55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7.536,29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5.739,07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5.807,82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7.011,33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Funzionamento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11.204,00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11.299,07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11.773,61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13.096,22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13.091,43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19.171,08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Interventi economici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17.500,00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24.674,83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18.297,61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19.066,72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29.843,00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25.740,00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Ammortamenti e accantonamenti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20.994,00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21.800,70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23.645,04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26.560,74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26.876,54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26.433,47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TOTALE COSTI OPERATIVI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57.774,00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66.503,15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61.252,55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64.462,75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75.618,80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78.355,88 </w:t>
            </w:r>
          </w:p>
        </w:tc>
      </w:tr>
      <w:tr w:rsidR="00ED095B" w:rsidRPr="00ED095B" w:rsidTr="00ED095B">
        <w:trPr>
          <w:trHeight w:val="21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MARGINE OPERATIVO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3.126,00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3.278,55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683,49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718,11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12.199,99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18.501,24 </w:t>
            </w:r>
          </w:p>
        </w:tc>
      </w:tr>
      <w:tr w:rsidR="00ED095B" w:rsidRPr="00ED095B" w:rsidTr="00ED095B">
        <w:trPr>
          <w:trHeight w:val="21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Proventi finanziari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1.505,00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1.084,21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1.657,88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1.898,73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1.505,42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1.565,20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Oneri finanziari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0,30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r>
      <w:tr w:rsidR="00ED095B" w:rsidRPr="00ED095B" w:rsidTr="00ED095B">
        <w:trPr>
          <w:trHeight w:val="21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color w:val="002060"/>
                <w:sz w:val="12"/>
                <w:szCs w:val="12"/>
                <w:lang w:eastAsia="it-IT"/>
              </w:rPr>
            </w:pPr>
            <w:r w:rsidRPr="00ED095B">
              <w:rPr>
                <w:rFonts w:ascii="Arial" w:eastAsia="Times New Roman" w:hAnsi="Arial" w:cs="Arial"/>
                <w:b/>
                <w:bCs/>
                <w:color w:val="002060"/>
                <w:sz w:val="12"/>
                <w:szCs w:val="12"/>
                <w:lang w:eastAsia="it-IT"/>
              </w:rPr>
              <w: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UTILE LORDO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4.631,00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2.194,35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2.341,36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1.180,62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10.694,57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16.936,04 </w:t>
            </w:r>
          </w:p>
        </w:tc>
      </w:tr>
      <w:tr w:rsidR="00ED095B" w:rsidRPr="00ED095B" w:rsidTr="00ED095B">
        <w:trPr>
          <w:trHeight w:val="21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Proventi straordinari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2.321,00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14.438,48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8.458,20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11.548,46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680,00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540,00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Oneri straordinari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509,00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10.821,20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4.986,96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5.710,05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280,00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100,00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 Rettifiche dell'attivo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377,00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287,16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83,21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66,45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Imposte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1.165,00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1.126,00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1.582,43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2.447,41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r>
      <w:tr w:rsidR="00ED095B" w:rsidRPr="00ED095B" w:rsidTr="00ED095B">
        <w:trPr>
          <w:trHeight w:val="300"/>
        </w:trPr>
        <w:tc>
          <w:tcPr>
            <w:tcW w:w="1175" w:type="pct"/>
            <w:tcBorders>
              <w:top w:val="nil"/>
              <w:left w:val="single" w:sz="8" w:space="0" w:color="auto"/>
              <w:bottom w:val="single" w:sz="4" w:space="0" w:color="auto"/>
              <w:right w:val="single" w:sz="4" w:space="0" w:color="auto"/>
            </w:tcBorders>
            <w:shd w:val="clear" w:color="000000" w:fill="3366FF"/>
            <w:vAlign w:val="bottom"/>
            <w:hideMark/>
          </w:tcPr>
          <w:p w:rsidR="00ED095B" w:rsidRPr="00ED095B" w:rsidRDefault="00ED095B" w:rsidP="00ED095B">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UTILE NETTO </w:t>
            </w:r>
          </w:p>
        </w:tc>
        <w:tc>
          <w:tcPr>
            <w:tcW w:w="600"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4.901,00 </w:t>
            </w:r>
          </w:p>
        </w:tc>
        <w:tc>
          <w:tcPr>
            <w:tcW w:w="63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9,76 </w:t>
            </w:r>
          </w:p>
        </w:tc>
        <w:tc>
          <w:tcPr>
            <w:tcW w:w="66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4.146,96 </w:t>
            </w:r>
          </w:p>
        </w:tc>
        <w:tc>
          <w:tcPr>
            <w:tcW w:w="66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6.952,58 </w:t>
            </w:r>
          </w:p>
        </w:tc>
        <w:tc>
          <w:tcPr>
            <w:tcW w:w="629" w:type="pct"/>
            <w:tcBorders>
              <w:top w:val="nil"/>
              <w:left w:val="nil"/>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12.741,89 </w:t>
            </w:r>
          </w:p>
        </w:tc>
        <w:tc>
          <w:tcPr>
            <w:tcW w:w="629" w:type="pct"/>
            <w:tcBorders>
              <w:top w:val="nil"/>
              <w:left w:val="single" w:sz="4" w:space="0" w:color="auto"/>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16.496,04 </w:t>
            </w:r>
          </w:p>
        </w:tc>
      </w:tr>
      <w:tr w:rsidR="00ED095B" w:rsidRPr="00ED095B" w:rsidTr="00ED095B">
        <w:trPr>
          <w:trHeight w:val="465"/>
        </w:trPr>
        <w:tc>
          <w:tcPr>
            <w:tcW w:w="1175" w:type="pct"/>
            <w:tcBorders>
              <w:top w:val="nil"/>
              <w:left w:val="single" w:sz="8" w:space="0" w:color="auto"/>
              <w:bottom w:val="nil"/>
              <w:right w:val="single" w:sz="4" w:space="0" w:color="auto"/>
            </w:tcBorders>
            <w:shd w:val="clear" w:color="auto" w:fill="auto"/>
            <w:vAlign w:val="center"/>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Ammortamento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1.711,00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1.724,40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1.729,13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1.639,49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1.709,94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1.708,00 </w:t>
            </w:r>
          </w:p>
        </w:tc>
      </w:tr>
      <w:tr w:rsidR="00ED095B" w:rsidRPr="00ED095B" w:rsidTr="00ED095B">
        <w:trPr>
          <w:trHeight w:val="570"/>
        </w:trPr>
        <w:tc>
          <w:tcPr>
            <w:tcW w:w="1175"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Crediti funzionamento iniziali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22.908,00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20.826,00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11.758,03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12.720,58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15.039,36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13.291,06 </w:t>
            </w:r>
          </w:p>
        </w:tc>
      </w:tr>
      <w:tr w:rsidR="00ED095B" w:rsidRPr="00ED095B" w:rsidTr="00ED095B">
        <w:trPr>
          <w:trHeight w:val="495"/>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lastRenderedPageBreak/>
              <w:t xml:space="preserve">  - Crediti di funzionamento finali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20.826,00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11.758,03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12.720,58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15.039,36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13.291,06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13.676,09 </w:t>
            </w:r>
          </w:p>
        </w:tc>
      </w:tr>
      <w:tr w:rsidR="00ED095B" w:rsidRPr="00ED095B" w:rsidTr="00ED095B">
        <w:trPr>
          <w:trHeight w:val="45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Ratei e risconti attivi  iniziali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48,00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31,00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33,02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36,86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37,22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t xml:space="preserve">  - Rati e risconti attivi finali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48,00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31,00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33,02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36,86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37,22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37,22 </w:t>
            </w:r>
          </w:p>
        </w:tc>
      </w:tr>
      <w:tr w:rsidR="00ED095B" w:rsidRPr="00ED095B" w:rsidTr="00ED095B">
        <w:trPr>
          <w:trHeight w:val="51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Prestiti ed anticipazioni attive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13.259,00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2.766,00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2.808,00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2.760,89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2.377,15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2.394,80 </w:t>
            </w:r>
          </w:p>
        </w:tc>
      </w:tr>
      <w:tr w:rsidR="00ED095B" w:rsidRPr="00ED095B" w:rsidTr="00ED095B">
        <w:trPr>
          <w:trHeight w:val="42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t xml:space="preserve">  - Prestiti ed anticipazioni attive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2.766,00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2.808,00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2.760,89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2.377,15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2.394,80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2.394,80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t xml:space="preserve">  - Debiti funzionamento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16.756,00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18.558,00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21.180,82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20.821,09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18.984,04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22.285,79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Debiti funzionamento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18.558,00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21.180,82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20.821,09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18.984,04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22.285,79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20.237,10 </w:t>
            </w:r>
          </w:p>
        </w:tc>
      </w:tr>
      <w:tr w:rsidR="00ED095B" w:rsidRPr="00ED095B" w:rsidTr="00ED095B">
        <w:trPr>
          <w:trHeight w:val="48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t xml:space="preserve">  - Ratei e risconti passivi iniziali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165,00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354,00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347,00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325,22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310,48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300,00 </w:t>
            </w:r>
          </w:p>
        </w:tc>
      </w:tr>
      <w:tr w:rsidR="00ED095B" w:rsidRPr="00ED095B" w:rsidTr="00ED095B">
        <w:trPr>
          <w:trHeight w:val="465"/>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Ratei e risconti passivi finali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354,00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347,00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325,22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310,48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300,00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300,00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t xml:space="preserve">  - Fondo TFR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11.153,00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9.809,00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8.729,00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6.254,98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6.254,89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6.254,89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sz w:val="12"/>
                <w:szCs w:val="12"/>
                <w:lang w:eastAsia="it-IT"/>
              </w:rPr>
            </w:pPr>
            <w:r w:rsidRPr="00ED095B">
              <w:rPr>
                <w:rFonts w:ascii="Arial" w:eastAsia="Times New Roman" w:hAnsi="Arial" w:cs="Arial"/>
                <w:i/>
                <w:iCs/>
                <w:sz w:val="12"/>
                <w:szCs w:val="12"/>
                <w:lang w:eastAsia="it-IT"/>
              </w:rPr>
              <w:t xml:space="preserve">  + Fondo TFR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9.809,00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8.729,00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6.254,98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6.254,89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6.254,89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6.000,00 </w:t>
            </w:r>
          </w:p>
        </w:tc>
      </w:tr>
      <w:tr w:rsidR="00ED095B" w:rsidRPr="00ED095B" w:rsidTr="00ED095B">
        <w:trPr>
          <w:trHeight w:val="675"/>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color w:val="FF0000"/>
                <w:sz w:val="12"/>
                <w:szCs w:val="12"/>
                <w:lang w:eastAsia="it-IT"/>
              </w:rPr>
            </w:pPr>
            <w:r w:rsidRPr="00ED095B">
              <w:rPr>
                <w:rFonts w:ascii="Arial" w:eastAsia="Times New Roman" w:hAnsi="Arial" w:cs="Arial"/>
                <w:i/>
                <w:iCs/>
                <w:color w:val="FF0000"/>
                <w:sz w:val="12"/>
                <w:szCs w:val="12"/>
                <w:lang w:eastAsia="it-IT"/>
              </w:rPr>
              <w:t xml:space="preserve">  - Fondo rischi e oneri iniziali    (t-1)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3.236,00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4.654,00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4.061,00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11.421,77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10.681,21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color w:val="FF0000"/>
                <w:sz w:val="12"/>
                <w:szCs w:val="12"/>
                <w:lang w:eastAsia="it-IT"/>
              </w:rPr>
            </w:pPr>
            <w:r w:rsidRPr="00ED095B">
              <w:rPr>
                <w:rFonts w:ascii="Arial" w:eastAsia="Times New Roman" w:hAnsi="Arial" w:cs="Arial"/>
                <w:color w:val="FF0000"/>
                <w:sz w:val="12"/>
                <w:szCs w:val="12"/>
                <w:lang w:eastAsia="it-IT"/>
              </w:rPr>
              <w:t xml:space="preserve">-         29.858,75 </w:t>
            </w:r>
          </w:p>
        </w:tc>
      </w:tr>
      <w:tr w:rsidR="00ED095B" w:rsidRPr="00ED095B" w:rsidTr="00ED095B">
        <w:trPr>
          <w:trHeight w:val="570"/>
        </w:trPr>
        <w:tc>
          <w:tcPr>
            <w:tcW w:w="1175" w:type="pct"/>
            <w:tcBorders>
              <w:top w:val="nil"/>
              <w:left w:val="single" w:sz="8" w:space="0" w:color="auto"/>
              <w:bottom w:val="single" w:sz="4" w:space="0" w:color="auto"/>
              <w:right w:val="single" w:sz="4" w:space="0" w:color="auto"/>
            </w:tcBorders>
            <w:shd w:val="clear" w:color="auto" w:fill="auto"/>
            <w:vAlign w:val="bottom"/>
            <w:hideMark/>
          </w:tcPr>
          <w:p w:rsidR="00ED095B" w:rsidRPr="00ED095B" w:rsidRDefault="00ED095B" w:rsidP="00ED095B">
            <w:pPr>
              <w:spacing w:after="0" w:line="240" w:lineRule="auto"/>
              <w:rPr>
                <w:rFonts w:ascii="Arial" w:eastAsia="Times New Roman" w:hAnsi="Arial" w:cs="Arial"/>
                <w:i/>
                <w:iCs/>
                <w:sz w:val="12"/>
                <w:szCs w:val="12"/>
                <w:lang w:eastAsia="it-IT"/>
              </w:rPr>
            </w:pPr>
            <w:r w:rsidRPr="00ED095B">
              <w:rPr>
                <w:rFonts w:ascii="Arial" w:eastAsia="Times New Roman" w:hAnsi="Arial" w:cs="Arial"/>
                <w:i/>
                <w:iCs/>
                <w:sz w:val="12"/>
                <w:szCs w:val="12"/>
                <w:lang w:eastAsia="it-IT"/>
              </w:rPr>
              <w:t xml:space="preserve">  + Fondo rischi e oneri finali (t)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4.654,00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4.061,00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11.421,77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10.681,21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29.858,75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19.838,13 </w:t>
            </w:r>
          </w:p>
        </w:tc>
      </w:tr>
      <w:tr w:rsidR="00ED095B" w:rsidRPr="00ED095B" w:rsidTr="00ED095B">
        <w:trPr>
          <w:trHeight w:val="510"/>
        </w:trPr>
        <w:tc>
          <w:tcPr>
            <w:tcW w:w="1175" w:type="pct"/>
            <w:tcBorders>
              <w:top w:val="nil"/>
              <w:left w:val="single" w:sz="8" w:space="0" w:color="auto"/>
              <w:bottom w:val="single" w:sz="4" w:space="0" w:color="auto"/>
              <w:right w:val="single" w:sz="4" w:space="0" w:color="auto"/>
            </w:tcBorders>
            <w:shd w:val="clear" w:color="000000" w:fill="3366FF"/>
            <w:vAlign w:val="center"/>
            <w:hideMark/>
          </w:tcPr>
          <w:p w:rsidR="00ED095B" w:rsidRPr="00ED095B" w:rsidRDefault="00ED095B" w:rsidP="00ED095B">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 FLUSSO DI CASSA OPERATIVO (T) </w:t>
            </w:r>
          </w:p>
        </w:tc>
        <w:tc>
          <w:tcPr>
            <w:tcW w:w="600"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21.238,00 </w:t>
            </w:r>
          </w:p>
        </w:tc>
        <w:tc>
          <w:tcPr>
            <w:tcW w:w="63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11.719,95 </w:t>
            </w:r>
          </w:p>
        </w:tc>
        <w:tc>
          <w:tcPr>
            <w:tcW w:w="66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9.463,87 </w:t>
            </w:r>
          </w:p>
        </w:tc>
        <w:tc>
          <w:tcPr>
            <w:tcW w:w="66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4.060,75 </w:t>
            </w:r>
          </w:p>
        </w:tc>
        <w:tc>
          <w:tcPr>
            <w:tcW w:w="629" w:type="pct"/>
            <w:tcBorders>
              <w:top w:val="nil"/>
              <w:left w:val="nil"/>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13.167,16 </w:t>
            </w:r>
          </w:p>
        </w:tc>
        <w:tc>
          <w:tcPr>
            <w:tcW w:w="629" w:type="pct"/>
            <w:tcBorders>
              <w:top w:val="nil"/>
              <w:left w:val="single" w:sz="4" w:space="0" w:color="auto"/>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27.422,84 </w:t>
            </w:r>
          </w:p>
        </w:tc>
      </w:tr>
      <w:tr w:rsidR="00ED095B" w:rsidRPr="00ED095B" w:rsidTr="00ED095B">
        <w:trPr>
          <w:trHeight w:val="255"/>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INVESTIMENTI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4.017,00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1.422,39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2.311,84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2.152,27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6.760,50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7.435,39 </w:t>
            </w:r>
          </w:p>
        </w:tc>
      </w:tr>
      <w:tr w:rsidR="00ED095B" w:rsidRPr="00ED095B" w:rsidTr="00ED095B">
        <w:trPr>
          <w:trHeight w:val="330"/>
        </w:trPr>
        <w:tc>
          <w:tcPr>
            <w:tcW w:w="1175" w:type="pct"/>
            <w:tcBorders>
              <w:top w:val="nil"/>
              <w:left w:val="single" w:sz="8" w:space="0" w:color="auto"/>
              <w:bottom w:val="single" w:sz="4" w:space="0" w:color="auto"/>
              <w:right w:val="single" w:sz="4" w:space="0" w:color="auto"/>
            </w:tcBorders>
            <w:shd w:val="clear" w:color="000000" w:fill="3366FF"/>
            <w:vAlign w:val="center"/>
            <w:hideMark/>
          </w:tcPr>
          <w:p w:rsidR="00ED095B" w:rsidRPr="00ED095B" w:rsidRDefault="00ED095B" w:rsidP="00ED095B">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FLUSSO DI CASSA </w:t>
            </w:r>
          </w:p>
        </w:tc>
        <w:tc>
          <w:tcPr>
            <w:tcW w:w="600"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17.221,00 </w:t>
            </w:r>
          </w:p>
        </w:tc>
        <w:tc>
          <w:tcPr>
            <w:tcW w:w="63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10.297,57 </w:t>
            </w:r>
          </w:p>
        </w:tc>
        <w:tc>
          <w:tcPr>
            <w:tcW w:w="66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7.152,03 </w:t>
            </w:r>
          </w:p>
        </w:tc>
        <w:tc>
          <w:tcPr>
            <w:tcW w:w="666" w:type="pct"/>
            <w:tcBorders>
              <w:top w:val="nil"/>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1.908,48 </w:t>
            </w:r>
          </w:p>
        </w:tc>
        <w:tc>
          <w:tcPr>
            <w:tcW w:w="629" w:type="pct"/>
            <w:tcBorders>
              <w:top w:val="nil"/>
              <w:left w:val="nil"/>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6.406,66 </w:t>
            </w:r>
          </w:p>
        </w:tc>
        <w:tc>
          <w:tcPr>
            <w:tcW w:w="629" w:type="pct"/>
            <w:tcBorders>
              <w:top w:val="nil"/>
              <w:left w:val="single" w:sz="4" w:space="0" w:color="auto"/>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34.858,23 </w:t>
            </w:r>
          </w:p>
        </w:tc>
      </w:tr>
      <w:tr w:rsidR="00ED095B" w:rsidRPr="00ED095B" w:rsidTr="00ED095B">
        <w:trPr>
          <w:trHeight w:val="255"/>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CASSA INIZIALE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43.895,00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61.208,00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71.484,49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79.062,19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81.108,07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87.514,72 </w:t>
            </w:r>
          </w:p>
        </w:tc>
      </w:tr>
      <w:tr w:rsidR="00ED095B" w:rsidRPr="00ED095B" w:rsidTr="00ED095B">
        <w:trPr>
          <w:trHeight w:val="270"/>
        </w:trPr>
        <w:tc>
          <w:tcPr>
            <w:tcW w:w="1175" w:type="pct"/>
            <w:tcBorders>
              <w:top w:val="nil"/>
              <w:left w:val="single" w:sz="8" w:space="0" w:color="auto"/>
              <w:bottom w:val="nil"/>
              <w:right w:val="single" w:sz="4" w:space="0" w:color="auto"/>
            </w:tcBorders>
            <w:shd w:val="clear" w:color="auto" w:fill="auto"/>
            <w:vAlign w:val="center"/>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00" w:type="pct"/>
            <w:tcBorders>
              <w:top w:val="nil"/>
              <w:left w:val="nil"/>
              <w:bottom w:val="nil"/>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8"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00"/>
        </w:trPr>
        <w:tc>
          <w:tcPr>
            <w:tcW w:w="1175" w:type="pct"/>
            <w:tcBorders>
              <w:top w:val="single" w:sz="8" w:space="0" w:color="auto"/>
              <w:left w:val="single" w:sz="8" w:space="0" w:color="auto"/>
              <w:bottom w:val="single" w:sz="8" w:space="0" w:color="auto"/>
              <w:right w:val="single" w:sz="4" w:space="0" w:color="auto"/>
            </w:tcBorders>
            <w:shd w:val="clear" w:color="000000" w:fill="3366FF"/>
            <w:vAlign w:val="center"/>
            <w:hideMark/>
          </w:tcPr>
          <w:p w:rsidR="00ED095B" w:rsidRPr="00ED095B" w:rsidRDefault="00ED095B" w:rsidP="00ED095B">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CASSA FINALE </w:t>
            </w:r>
          </w:p>
        </w:tc>
        <w:tc>
          <w:tcPr>
            <w:tcW w:w="600" w:type="pct"/>
            <w:tcBorders>
              <w:top w:val="single" w:sz="8" w:space="0" w:color="auto"/>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61.208,00 </w:t>
            </w:r>
          </w:p>
        </w:tc>
        <w:tc>
          <w:tcPr>
            <w:tcW w:w="636" w:type="pct"/>
            <w:tcBorders>
              <w:top w:val="nil"/>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71.484,93 </w:t>
            </w:r>
          </w:p>
        </w:tc>
        <w:tc>
          <w:tcPr>
            <w:tcW w:w="666" w:type="pct"/>
            <w:tcBorders>
              <w:top w:val="nil"/>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79.062,52 </w:t>
            </w:r>
          </w:p>
        </w:tc>
        <w:tc>
          <w:tcPr>
            <w:tcW w:w="666" w:type="pct"/>
            <w:tcBorders>
              <w:top w:val="nil"/>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81.108,07 </w:t>
            </w:r>
          </w:p>
        </w:tc>
        <w:tc>
          <w:tcPr>
            <w:tcW w:w="629" w:type="pct"/>
            <w:tcBorders>
              <w:top w:val="nil"/>
              <w:left w:val="nil"/>
              <w:bottom w:val="single" w:sz="8"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87.514,72 </w:t>
            </w:r>
          </w:p>
        </w:tc>
        <w:tc>
          <w:tcPr>
            <w:tcW w:w="629" w:type="pct"/>
            <w:tcBorders>
              <w:top w:val="nil"/>
              <w:left w:val="single" w:sz="4" w:space="0" w:color="auto"/>
              <w:bottom w:val="single" w:sz="8"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52.656,50 </w:t>
            </w:r>
          </w:p>
        </w:tc>
      </w:tr>
      <w:tr w:rsidR="00ED095B" w:rsidRPr="00ED095B" w:rsidTr="00ED095B">
        <w:trPr>
          <w:trHeight w:val="270"/>
        </w:trPr>
        <w:tc>
          <w:tcPr>
            <w:tcW w:w="2411" w:type="pct"/>
            <w:gridSpan w:val="3"/>
            <w:tcBorders>
              <w:top w:val="nil"/>
              <w:left w:val="single" w:sz="8" w:space="0" w:color="auto"/>
              <w:bottom w:val="nil"/>
              <w:right w:val="nil"/>
            </w:tcBorders>
            <w:shd w:val="clear" w:color="auto" w:fill="auto"/>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w:t>
            </w:r>
          </w:p>
        </w:tc>
        <w:tc>
          <w:tcPr>
            <w:tcW w:w="666" w:type="pct"/>
            <w:tcBorders>
              <w:top w:val="nil"/>
              <w:left w:val="nil"/>
              <w:bottom w:val="nil"/>
              <w:right w:val="nil"/>
            </w:tcBorders>
            <w:shd w:val="clear" w:color="auto" w:fill="auto"/>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p>
        </w:tc>
        <w:tc>
          <w:tcPr>
            <w:tcW w:w="666" w:type="pct"/>
            <w:tcBorders>
              <w:top w:val="nil"/>
              <w:left w:val="nil"/>
              <w:bottom w:val="nil"/>
              <w:right w:val="nil"/>
            </w:tcBorders>
            <w:shd w:val="clear" w:color="auto" w:fill="auto"/>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p>
        </w:tc>
        <w:tc>
          <w:tcPr>
            <w:tcW w:w="629" w:type="pct"/>
            <w:tcBorders>
              <w:top w:val="single" w:sz="4" w:space="0" w:color="auto"/>
              <w:left w:val="single" w:sz="8" w:space="0" w:color="auto"/>
              <w:bottom w:val="nil"/>
              <w:right w:val="single" w:sz="8" w:space="0" w:color="auto"/>
            </w:tcBorders>
            <w:shd w:val="clear" w:color="auto" w:fill="auto"/>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single" w:sz="4" w:space="0" w:color="auto"/>
              <w:left w:val="nil"/>
              <w:bottom w:val="nil"/>
              <w:right w:val="single" w:sz="8" w:space="0" w:color="auto"/>
            </w:tcBorders>
            <w:shd w:val="clear" w:color="auto" w:fill="auto"/>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15"/>
        </w:trPr>
        <w:tc>
          <w:tcPr>
            <w:tcW w:w="1175" w:type="pct"/>
            <w:tcBorders>
              <w:top w:val="nil"/>
              <w:left w:val="single" w:sz="8" w:space="0" w:color="auto"/>
              <w:bottom w:val="single" w:sz="8" w:space="0" w:color="auto"/>
              <w:right w:val="nil"/>
            </w:tcBorders>
            <w:shd w:val="clear" w:color="auto" w:fill="auto"/>
            <w:noWrap/>
            <w:vAlign w:val="bottom"/>
            <w:hideMark/>
          </w:tcPr>
          <w:p w:rsidR="00ED095B" w:rsidRPr="00ED095B" w:rsidRDefault="00ED095B" w:rsidP="00ED095B">
            <w:pPr>
              <w:spacing w:after="0" w:line="240" w:lineRule="auto"/>
              <w:rPr>
                <w:rFonts w:ascii="Courier New" w:eastAsia="Times New Roman" w:hAnsi="Courier New" w:cs="Courier New"/>
                <w:sz w:val="12"/>
                <w:szCs w:val="12"/>
                <w:lang w:eastAsia="it-IT"/>
              </w:rPr>
            </w:pPr>
            <w:r w:rsidRPr="00ED095B">
              <w:rPr>
                <w:rFonts w:ascii="Courier New" w:eastAsia="Times New Roman" w:hAnsi="Courier New" w:cs="Courier New"/>
                <w:sz w:val="12"/>
                <w:szCs w:val="12"/>
                <w:lang w:eastAsia="it-IT"/>
              </w:rPr>
              <w:t> </w:t>
            </w:r>
          </w:p>
        </w:tc>
        <w:tc>
          <w:tcPr>
            <w:tcW w:w="600" w:type="pct"/>
            <w:tcBorders>
              <w:top w:val="single" w:sz="8" w:space="0" w:color="auto"/>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61.208,00 </w:t>
            </w:r>
          </w:p>
        </w:tc>
        <w:tc>
          <w:tcPr>
            <w:tcW w:w="636" w:type="pct"/>
            <w:tcBorders>
              <w:top w:val="single" w:sz="8" w:space="0" w:color="auto"/>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71.484,93 </w:t>
            </w:r>
          </w:p>
        </w:tc>
        <w:tc>
          <w:tcPr>
            <w:tcW w:w="666" w:type="pct"/>
            <w:tcBorders>
              <w:top w:val="single" w:sz="8" w:space="0" w:color="auto"/>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79.062,19 </w:t>
            </w:r>
          </w:p>
        </w:tc>
        <w:tc>
          <w:tcPr>
            <w:tcW w:w="666" w:type="pct"/>
            <w:tcBorders>
              <w:top w:val="single" w:sz="8" w:space="0" w:color="auto"/>
              <w:left w:val="nil"/>
              <w:bottom w:val="single" w:sz="8"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81.108,07 </w:t>
            </w:r>
          </w:p>
        </w:tc>
        <w:tc>
          <w:tcPr>
            <w:tcW w:w="629" w:type="pct"/>
            <w:tcBorders>
              <w:top w:val="single" w:sz="8" w:space="0" w:color="auto"/>
              <w:left w:val="nil"/>
              <w:bottom w:val="single" w:sz="8"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87.514,72 </w:t>
            </w:r>
          </w:p>
        </w:tc>
        <w:tc>
          <w:tcPr>
            <w:tcW w:w="629" w:type="pct"/>
            <w:tcBorders>
              <w:top w:val="single" w:sz="8" w:space="0" w:color="auto"/>
              <w:left w:val="nil"/>
              <w:bottom w:val="single" w:sz="8"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52.656,50 </w:t>
            </w:r>
          </w:p>
        </w:tc>
      </w:tr>
    </w:tbl>
    <w:p w:rsidR="000E4241" w:rsidRDefault="000E4241" w:rsidP="00A17A39">
      <w:pPr>
        <w:pStyle w:val="Paragrafoelenco"/>
        <w:ind w:left="0"/>
        <w:jc w:val="both"/>
        <w:rPr>
          <w:rFonts w:ascii="Times New Roman" w:hAnsi="Times New Roman"/>
          <w:color w:val="000000"/>
        </w:rPr>
      </w:pPr>
    </w:p>
    <w:p w:rsidR="00A17A39" w:rsidRPr="0032197E" w:rsidRDefault="00A17A39" w:rsidP="00A17A39">
      <w:pPr>
        <w:pStyle w:val="Paragrafoelenco"/>
        <w:ind w:left="0"/>
        <w:jc w:val="both"/>
        <w:rPr>
          <w:rFonts w:ascii="Times New Roman" w:hAnsi="Times New Roman"/>
          <w:color w:val="000000"/>
        </w:rPr>
      </w:pPr>
      <w:r w:rsidRPr="0032197E">
        <w:rPr>
          <w:rFonts w:ascii="Times New Roman" w:hAnsi="Times New Roman"/>
          <w:color w:val="000000"/>
        </w:rPr>
        <w:t xml:space="preserve">Le cause che hanno determinato l’andamento del flusso di cassa possono essere osservate ulteriormente nelle specifiche considerazioni che seguono: </w:t>
      </w:r>
    </w:p>
    <w:p w:rsidR="00A17A39" w:rsidRDefault="00A17A39" w:rsidP="00A17A39">
      <w:pPr>
        <w:pStyle w:val="Paragrafoelenco"/>
        <w:spacing w:after="0"/>
        <w:ind w:left="0"/>
        <w:jc w:val="center"/>
        <w:rPr>
          <w:rFonts w:ascii="Cambria" w:hAnsi="Cambria" w:cs="Tunga"/>
          <w:b/>
          <w:i/>
          <w:color w:val="000000"/>
          <w:sz w:val="24"/>
          <w:szCs w:val="24"/>
        </w:rPr>
      </w:pPr>
      <w:r w:rsidRPr="00640E51">
        <w:rPr>
          <w:rFonts w:ascii="Cambria" w:hAnsi="Cambria" w:cs="Tunga"/>
          <w:b/>
          <w:i/>
          <w:color w:val="000000"/>
          <w:sz w:val="24"/>
          <w:szCs w:val="24"/>
        </w:rPr>
        <w:t>Analisi dei ricavi</w:t>
      </w:r>
    </w:p>
    <w:tbl>
      <w:tblPr>
        <w:tblW w:w="5000" w:type="pct"/>
        <w:tblCellMar>
          <w:left w:w="70" w:type="dxa"/>
          <w:right w:w="70" w:type="dxa"/>
        </w:tblCellMar>
        <w:tblLook w:val="04A0" w:firstRow="1" w:lastRow="0" w:firstColumn="1" w:lastColumn="0" w:noHBand="0" w:noVBand="1"/>
      </w:tblPr>
      <w:tblGrid>
        <w:gridCol w:w="2299"/>
        <w:gridCol w:w="1173"/>
        <w:gridCol w:w="1244"/>
        <w:gridCol w:w="1302"/>
        <w:gridCol w:w="1302"/>
        <w:gridCol w:w="1230"/>
        <w:gridCol w:w="1228"/>
      </w:tblGrid>
      <w:tr w:rsidR="00ED095B" w:rsidRPr="00ED095B" w:rsidTr="00ED095B">
        <w:trPr>
          <w:trHeight w:val="300"/>
        </w:trPr>
        <w:tc>
          <w:tcPr>
            <w:tcW w:w="1175" w:type="pct"/>
            <w:tcBorders>
              <w:top w:val="single" w:sz="8" w:space="0" w:color="auto"/>
              <w:left w:val="single" w:sz="8" w:space="0" w:color="auto"/>
              <w:bottom w:val="nil"/>
              <w:right w:val="nil"/>
            </w:tcBorders>
            <w:shd w:val="clear" w:color="auto" w:fill="auto"/>
            <w:noWrap/>
            <w:vAlign w:val="bottom"/>
            <w:hideMark/>
          </w:tcPr>
          <w:p w:rsidR="00ED095B" w:rsidRPr="00ED095B" w:rsidRDefault="00ED095B" w:rsidP="00ED095B">
            <w:pPr>
              <w:spacing w:after="0" w:line="240" w:lineRule="auto"/>
              <w:rPr>
                <w:rFonts w:ascii="Futura Bk" w:eastAsia="Times New Roman" w:hAnsi="Futura Bk" w:cs="Arial"/>
                <w:sz w:val="12"/>
                <w:szCs w:val="12"/>
                <w:lang w:eastAsia="it-IT"/>
              </w:rPr>
            </w:pPr>
            <w:r w:rsidRPr="00ED095B">
              <w:rPr>
                <w:rFonts w:ascii="Futura Bk" w:eastAsia="Times New Roman" w:hAnsi="Futura Bk" w:cs="Arial"/>
                <w:sz w:val="12"/>
                <w:szCs w:val="12"/>
                <w:lang w:eastAsia="it-IT"/>
              </w:rPr>
              <w:t> </w:t>
            </w:r>
          </w:p>
        </w:tc>
        <w:tc>
          <w:tcPr>
            <w:tcW w:w="600" w:type="pct"/>
            <w:tcBorders>
              <w:top w:val="single" w:sz="8" w:space="0" w:color="auto"/>
              <w:left w:val="nil"/>
              <w:bottom w:val="nil"/>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2009</w:t>
            </w:r>
          </w:p>
        </w:tc>
        <w:tc>
          <w:tcPr>
            <w:tcW w:w="636" w:type="pct"/>
            <w:tcBorders>
              <w:top w:val="single" w:sz="8" w:space="0" w:color="auto"/>
              <w:left w:val="nil"/>
              <w:bottom w:val="nil"/>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2010</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2011</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2012</w:t>
            </w:r>
          </w:p>
        </w:tc>
        <w:tc>
          <w:tcPr>
            <w:tcW w:w="629" w:type="pct"/>
            <w:tcBorders>
              <w:top w:val="single" w:sz="8" w:space="0" w:color="auto"/>
              <w:left w:val="nil"/>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2013</w:t>
            </w:r>
          </w:p>
        </w:tc>
        <w:tc>
          <w:tcPr>
            <w:tcW w:w="629" w:type="pct"/>
            <w:tcBorders>
              <w:top w:val="single" w:sz="8" w:space="0" w:color="auto"/>
              <w:left w:val="single" w:sz="4" w:space="0" w:color="auto"/>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2014</w:t>
            </w:r>
          </w:p>
        </w:tc>
      </w:tr>
      <w:tr w:rsidR="00ED095B" w:rsidRPr="00ED095B" w:rsidTr="00ED095B">
        <w:trPr>
          <w:trHeight w:val="402"/>
        </w:trPr>
        <w:tc>
          <w:tcPr>
            <w:tcW w:w="117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RICAVI </w:t>
            </w:r>
          </w:p>
        </w:tc>
        <w:tc>
          <w:tcPr>
            <w:tcW w:w="600" w:type="pct"/>
            <w:tcBorders>
              <w:top w:val="single" w:sz="4" w:space="0" w:color="auto"/>
              <w:left w:val="nil"/>
              <w:bottom w:val="nil"/>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single" w:sz="4" w:space="0" w:color="auto"/>
              <w:left w:val="nil"/>
              <w:bottom w:val="nil"/>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Diritto annuale </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48.743,00 </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49.333,90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50.226,96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51.729,44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52.091,01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49.221,34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Diritti segreteria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9.890,00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10.561,40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10.107,06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9.494,69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9.388,46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9.083,00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Contributi e altre entrate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1.721,00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2.982,62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1.383,61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2.389,08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1.809,33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1.505,30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Proventi gestione servizi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456,00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340,24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234,47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203,39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130,00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45,00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Variazione rimanenze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90,00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6,44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16,06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71,96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TOTALE RICAVI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60.900,00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63.224,60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61.936,04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63.744,64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63.418,80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59.854,64 </w:t>
            </w:r>
          </w:p>
        </w:tc>
      </w:tr>
    </w:tbl>
    <w:p w:rsidR="00ED095B" w:rsidRDefault="00ED095B" w:rsidP="00A17A39">
      <w:pPr>
        <w:pStyle w:val="Paragrafoelenco"/>
        <w:spacing w:after="0"/>
        <w:ind w:left="0"/>
        <w:jc w:val="center"/>
        <w:rPr>
          <w:rFonts w:ascii="Cambria" w:hAnsi="Cambria" w:cs="Tunga"/>
          <w:b/>
          <w:i/>
          <w:color w:val="000000"/>
          <w:sz w:val="24"/>
          <w:szCs w:val="24"/>
        </w:rPr>
      </w:pPr>
    </w:p>
    <w:p w:rsidR="00ED095B" w:rsidRPr="00640E51" w:rsidRDefault="00ED095B" w:rsidP="00A17A39">
      <w:pPr>
        <w:pStyle w:val="Paragrafoelenco"/>
        <w:spacing w:after="0"/>
        <w:ind w:left="0"/>
        <w:jc w:val="center"/>
        <w:rPr>
          <w:rFonts w:ascii="Cambria" w:hAnsi="Cambria" w:cs="Tunga"/>
          <w:b/>
          <w:i/>
          <w:color w:val="000000"/>
          <w:sz w:val="24"/>
          <w:szCs w:val="24"/>
        </w:rPr>
      </w:pPr>
    </w:p>
    <w:p w:rsidR="00244CE8" w:rsidRDefault="00244CE8" w:rsidP="00244CE8">
      <w:pPr>
        <w:jc w:val="center"/>
      </w:pPr>
    </w:p>
    <w:p w:rsidR="00A17A39" w:rsidRDefault="00A17A39" w:rsidP="00A17A39">
      <w:pPr>
        <w:pStyle w:val="Paragrafoelenco"/>
        <w:ind w:left="0"/>
        <w:jc w:val="both"/>
        <w:rPr>
          <w:rFonts w:ascii="Times New Roman" w:hAnsi="Times New Roman"/>
          <w:color w:val="000000"/>
        </w:rPr>
      </w:pPr>
      <w:r w:rsidRPr="0032197E">
        <w:rPr>
          <w:rFonts w:ascii="Times New Roman" w:hAnsi="Times New Roman"/>
          <w:color w:val="000000"/>
        </w:rPr>
        <w:lastRenderedPageBreak/>
        <w:t>Il decremento dei ricavi nel 201</w:t>
      </w:r>
      <w:r>
        <w:rPr>
          <w:rFonts w:ascii="Times New Roman" w:hAnsi="Times New Roman"/>
          <w:color w:val="000000"/>
        </w:rPr>
        <w:t>2</w:t>
      </w:r>
      <w:r w:rsidRPr="0032197E">
        <w:rPr>
          <w:rFonts w:ascii="Times New Roman" w:hAnsi="Times New Roman"/>
          <w:color w:val="000000"/>
        </w:rPr>
        <w:t xml:space="preserve"> è dovuto soprattutto alla contrazione dei diritti di segreteria riguardanti le attività attinenti il registro imprese. Come si vede dai grafi</w:t>
      </w:r>
      <w:r>
        <w:rPr>
          <w:rFonts w:ascii="Times New Roman" w:hAnsi="Times New Roman"/>
          <w:color w:val="000000"/>
        </w:rPr>
        <w:t>ci sotto riportati i ricavi 2012 e 2013</w:t>
      </w:r>
      <w:r w:rsidRPr="0032197E">
        <w:rPr>
          <w:rFonts w:ascii="Times New Roman" w:hAnsi="Times New Roman"/>
          <w:color w:val="000000"/>
        </w:rPr>
        <w:t xml:space="preserve"> si attestano ad un l</w:t>
      </w:r>
      <w:r>
        <w:rPr>
          <w:rFonts w:ascii="Times New Roman" w:hAnsi="Times New Roman"/>
          <w:color w:val="000000"/>
        </w:rPr>
        <w:t>ivello che evidenzia un trend in calo.</w:t>
      </w:r>
    </w:p>
    <w:p w:rsidR="00ED095B" w:rsidRDefault="00ED095B" w:rsidP="00A17A39">
      <w:pPr>
        <w:pStyle w:val="Paragrafoelenco"/>
        <w:ind w:left="0"/>
        <w:jc w:val="both"/>
        <w:rPr>
          <w:rFonts w:ascii="Times New Roman" w:hAnsi="Times New Roman"/>
          <w:color w:val="000000"/>
        </w:rPr>
      </w:pPr>
    </w:p>
    <w:p w:rsidR="00ED095B" w:rsidRDefault="00ED095B" w:rsidP="00ED095B">
      <w:pPr>
        <w:pStyle w:val="Paragrafoelenco"/>
        <w:ind w:left="0"/>
        <w:jc w:val="center"/>
        <w:rPr>
          <w:rFonts w:ascii="Times New Roman" w:hAnsi="Times New Roman"/>
          <w:color w:val="000000"/>
        </w:rPr>
      </w:pPr>
      <w:r w:rsidRPr="00ED095B">
        <w:rPr>
          <w:rFonts w:ascii="Times New Roman" w:hAnsi="Times New Roman"/>
          <w:noProof/>
          <w:color w:val="000000"/>
          <w:lang w:eastAsia="it-IT"/>
        </w:rPr>
        <w:drawing>
          <wp:inline distT="0" distB="0" distL="0" distR="0">
            <wp:extent cx="4286250" cy="1819275"/>
            <wp:effectExtent l="19050" t="0" r="19050" b="0"/>
            <wp:docPr id="1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7A39" w:rsidRDefault="00A17A39" w:rsidP="00A17A39">
      <w:pPr>
        <w:pStyle w:val="Paragrafoelenco"/>
        <w:ind w:left="0"/>
        <w:jc w:val="both"/>
        <w:rPr>
          <w:rFonts w:ascii="Times New Roman" w:hAnsi="Times New Roman"/>
          <w:color w:val="000000"/>
        </w:rPr>
      </w:pPr>
    </w:p>
    <w:p w:rsidR="004F32B5" w:rsidRDefault="00ED095B" w:rsidP="00ED095B">
      <w:pPr>
        <w:pStyle w:val="Paragrafoelenco"/>
        <w:ind w:left="0"/>
        <w:jc w:val="center"/>
        <w:rPr>
          <w:rFonts w:ascii="Times New Roman" w:hAnsi="Times New Roman"/>
          <w:color w:val="000000"/>
        </w:rPr>
      </w:pPr>
      <w:r w:rsidRPr="00ED095B">
        <w:rPr>
          <w:rFonts w:ascii="Times New Roman" w:hAnsi="Times New Roman"/>
          <w:noProof/>
          <w:color w:val="000000"/>
          <w:lang w:eastAsia="it-IT"/>
        </w:rPr>
        <w:drawing>
          <wp:inline distT="0" distB="0" distL="0" distR="0">
            <wp:extent cx="4286250" cy="1962150"/>
            <wp:effectExtent l="19050" t="0" r="19050" b="0"/>
            <wp:docPr id="20"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p>
    <w:tbl>
      <w:tblPr>
        <w:tblW w:w="5000" w:type="pct"/>
        <w:tblCellMar>
          <w:left w:w="70" w:type="dxa"/>
          <w:right w:w="70" w:type="dxa"/>
        </w:tblCellMar>
        <w:tblLook w:val="04A0" w:firstRow="1" w:lastRow="0" w:firstColumn="1" w:lastColumn="0" w:noHBand="0" w:noVBand="1"/>
      </w:tblPr>
      <w:tblGrid>
        <w:gridCol w:w="2301"/>
        <w:gridCol w:w="1173"/>
        <w:gridCol w:w="1244"/>
        <w:gridCol w:w="1302"/>
        <w:gridCol w:w="1302"/>
        <w:gridCol w:w="1230"/>
        <w:gridCol w:w="1226"/>
      </w:tblGrid>
      <w:tr w:rsidR="00ED095B" w:rsidRPr="00ED095B" w:rsidTr="00ED095B">
        <w:trPr>
          <w:trHeight w:val="300"/>
        </w:trPr>
        <w:tc>
          <w:tcPr>
            <w:tcW w:w="1176" w:type="pct"/>
            <w:tcBorders>
              <w:top w:val="single" w:sz="8" w:space="0" w:color="auto"/>
              <w:left w:val="single" w:sz="8" w:space="0" w:color="auto"/>
              <w:bottom w:val="nil"/>
              <w:right w:val="nil"/>
            </w:tcBorders>
            <w:shd w:val="clear" w:color="auto" w:fill="auto"/>
            <w:noWrap/>
            <w:vAlign w:val="bottom"/>
            <w:hideMark/>
          </w:tcPr>
          <w:p w:rsidR="00ED095B" w:rsidRPr="00ED095B" w:rsidRDefault="00ED095B" w:rsidP="00ED095B">
            <w:pPr>
              <w:spacing w:after="0" w:line="240" w:lineRule="auto"/>
              <w:rPr>
                <w:rFonts w:ascii="Futura Bk" w:eastAsia="Times New Roman" w:hAnsi="Futura Bk" w:cs="Arial"/>
                <w:sz w:val="12"/>
                <w:szCs w:val="12"/>
                <w:lang w:eastAsia="it-IT"/>
              </w:rPr>
            </w:pPr>
            <w:r w:rsidRPr="00ED095B">
              <w:rPr>
                <w:rFonts w:ascii="Futura Bk" w:eastAsia="Times New Roman" w:hAnsi="Futura Bk" w:cs="Arial"/>
                <w:sz w:val="12"/>
                <w:szCs w:val="12"/>
                <w:lang w:eastAsia="it-IT"/>
              </w:rPr>
              <w:t> </w:t>
            </w:r>
          </w:p>
        </w:tc>
        <w:tc>
          <w:tcPr>
            <w:tcW w:w="600" w:type="pct"/>
            <w:tcBorders>
              <w:top w:val="single" w:sz="8" w:space="0" w:color="auto"/>
              <w:left w:val="nil"/>
              <w:bottom w:val="nil"/>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2009</w:t>
            </w:r>
          </w:p>
        </w:tc>
        <w:tc>
          <w:tcPr>
            <w:tcW w:w="636" w:type="pct"/>
            <w:tcBorders>
              <w:top w:val="single" w:sz="8" w:space="0" w:color="auto"/>
              <w:left w:val="nil"/>
              <w:bottom w:val="nil"/>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2010</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2011</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2012</w:t>
            </w:r>
          </w:p>
        </w:tc>
        <w:tc>
          <w:tcPr>
            <w:tcW w:w="629" w:type="pct"/>
            <w:tcBorders>
              <w:top w:val="single" w:sz="8" w:space="0" w:color="auto"/>
              <w:left w:val="nil"/>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2013</w:t>
            </w:r>
          </w:p>
        </w:tc>
        <w:tc>
          <w:tcPr>
            <w:tcW w:w="628" w:type="pct"/>
            <w:tcBorders>
              <w:top w:val="single" w:sz="8" w:space="0" w:color="auto"/>
              <w:left w:val="single" w:sz="4" w:space="0" w:color="auto"/>
              <w:bottom w:val="single" w:sz="4" w:space="0" w:color="auto"/>
              <w:right w:val="single" w:sz="8" w:space="0" w:color="auto"/>
            </w:tcBorders>
            <w:shd w:val="clear" w:color="000000" w:fill="3366FF"/>
            <w:noWrap/>
            <w:vAlign w:val="bottom"/>
            <w:hideMark/>
          </w:tcPr>
          <w:p w:rsidR="00ED095B" w:rsidRPr="00ED095B" w:rsidRDefault="00ED095B" w:rsidP="00ED095B">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2014</w:t>
            </w:r>
          </w:p>
        </w:tc>
      </w:tr>
    </w:tbl>
    <w:p w:rsidR="00A17A39" w:rsidRDefault="00A17A39" w:rsidP="00A17A39">
      <w:pPr>
        <w:pStyle w:val="Paragrafoelenco"/>
        <w:ind w:left="0"/>
        <w:jc w:val="both"/>
        <w:rPr>
          <w:rFonts w:ascii="Times New Roman" w:hAnsi="Times New Roman"/>
          <w:color w:val="000000"/>
        </w:rPr>
      </w:pPr>
    </w:p>
    <w:tbl>
      <w:tblPr>
        <w:tblW w:w="5000" w:type="pct"/>
        <w:tblCellMar>
          <w:left w:w="70" w:type="dxa"/>
          <w:right w:w="70" w:type="dxa"/>
        </w:tblCellMar>
        <w:tblLook w:val="04A0" w:firstRow="1" w:lastRow="0" w:firstColumn="1" w:lastColumn="0" w:noHBand="0" w:noVBand="1"/>
      </w:tblPr>
      <w:tblGrid>
        <w:gridCol w:w="2299"/>
        <w:gridCol w:w="1173"/>
        <w:gridCol w:w="1244"/>
        <w:gridCol w:w="1302"/>
        <w:gridCol w:w="1302"/>
        <w:gridCol w:w="1230"/>
        <w:gridCol w:w="1228"/>
      </w:tblGrid>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COSTI OPERATIVI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Personale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8.076,00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8.728,55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7.536,29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5.739,07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5.807,82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7.011,33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Funzionamento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11.204,00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11.299,07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11.773,61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13.096,22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13.091,43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19.171,08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Interventi economici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17.500,00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24.674,83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18.297,61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19.066,72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29.843,00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25.740,00 </w:t>
            </w:r>
          </w:p>
        </w:tc>
      </w:tr>
      <w:tr w:rsidR="00ED095B" w:rsidRPr="00ED095B" w:rsidTr="00ED095B">
        <w:trPr>
          <w:trHeight w:val="360"/>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Ammortamenti e accantonamenti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20.994,00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21.800,70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23.645,04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26.560,74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26.876,54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26.433,47 </w:t>
            </w:r>
          </w:p>
        </w:tc>
      </w:tr>
      <w:tr w:rsidR="00ED095B" w:rsidRPr="00ED095B" w:rsidTr="00ED095B">
        <w:trPr>
          <w:trHeight w:val="402"/>
        </w:trPr>
        <w:tc>
          <w:tcPr>
            <w:tcW w:w="1175" w:type="pct"/>
            <w:tcBorders>
              <w:top w:val="nil"/>
              <w:left w:val="single" w:sz="8" w:space="0" w:color="auto"/>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TOTALE COSTI OPERATIVI </w:t>
            </w:r>
          </w:p>
        </w:tc>
        <w:tc>
          <w:tcPr>
            <w:tcW w:w="600"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57.774,00 </w:t>
            </w:r>
          </w:p>
        </w:tc>
        <w:tc>
          <w:tcPr>
            <w:tcW w:w="63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66.503,15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61.252,55 </w:t>
            </w:r>
          </w:p>
        </w:tc>
        <w:tc>
          <w:tcPr>
            <w:tcW w:w="666" w:type="pct"/>
            <w:tcBorders>
              <w:top w:val="nil"/>
              <w:left w:val="nil"/>
              <w:bottom w:val="single" w:sz="4" w:space="0" w:color="auto"/>
              <w:right w:val="single" w:sz="4"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64.462,75 </w:t>
            </w:r>
          </w:p>
        </w:tc>
        <w:tc>
          <w:tcPr>
            <w:tcW w:w="629" w:type="pct"/>
            <w:tcBorders>
              <w:top w:val="nil"/>
              <w:left w:val="nil"/>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75.618,80 </w:t>
            </w:r>
          </w:p>
        </w:tc>
        <w:tc>
          <w:tcPr>
            <w:tcW w:w="629" w:type="pct"/>
            <w:tcBorders>
              <w:top w:val="nil"/>
              <w:left w:val="single" w:sz="4" w:space="0" w:color="auto"/>
              <w:bottom w:val="single" w:sz="4" w:space="0" w:color="auto"/>
              <w:right w:val="single" w:sz="8" w:space="0" w:color="auto"/>
            </w:tcBorders>
            <w:shd w:val="clear" w:color="auto" w:fill="auto"/>
            <w:noWrap/>
            <w:vAlign w:val="bottom"/>
            <w:hideMark/>
          </w:tcPr>
          <w:p w:rsidR="00ED095B" w:rsidRPr="00ED095B" w:rsidRDefault="00ED095B" w:rsidP="00ED095B">
            <w:pPr>
              <w:spacing w:after="0" w:line="240" w:lineRule="auto"/>
              <w:jc w:val="right"/>
              <w:rPr>
                <w:rFonts w:ascii="Arial" w:eastAsia="Times New Roman" w:hAnsi="Arial" w:cs="Arial"/>
                <w:b/>
                <w:bCs/>
                <w:sz w:val="12"/>
                <w:szCs w:val="12"/>
                <w:lang w:eastAsia="it-IT"/>
              </w:rPr>
            </w:pPr>
            <w:r w:rsidRPr="00ED095B">
              <w:rPr>
                <w:rFonts w:ascii="Arial" w:eastAsia="Times New Roman" w:hAnsi="Arial" w:cs="Arial"/>
                <w:b/>
                <w:bCs/>
                <w:sz w:val="12"/>
                <w:szCs w:val="12"/>
                <w:lang w:eastAsia="it-IT"/>
              </w:rPr>
              <w:t xml:space="preserve">-         78.355,88 </w:t>
            </w:r>
          </w:p>
        </w:tc>
      </w:tr>
    </w:tbl>
    <w:p w:rsidR="00ED095B" w:rsidRDefault="00ED095B" w:rsidP="00A17A39">
      <w:pPr>
        <w:pStyle w:val="Paragrafoelenco"/>
        <w:ind w:left="0"/>
        <w:jc w:val="both"/>
        <w:rPr>
          <w:rFonts w:ascii="Times New Roman" w:hAnsi="Times New Roman"/>
          <w:color w:val="000000"/>
        </w:rPr>
      </w:pPr>
    </w:p>
    <w:p w:rsidR="00ED095B" w:rsidRDefault="00ED095B" w:rsidP="00A17A39">
      <w:pPr>
        <w:pStyle w:val="Paragrafoelenco"/>
        <w:ind w:left="0"/>
        <w:jc w:val="both"/>
        <w:rPr>
          <w:rFonts w:ascii="Times New Roman" w:hAnsi="Times New Roman"/>
          <w:color w:val="000000"/>
        </w:rPr>
      </w:pPr>
    </w:p>
    <w:p w:rsidR="00A17A39" w:rsidRDefault="004F01CB" w:rsidP="00A17A39">
      <w:pPr>
        <w:pStyle w:val="Paragrafoelenco"/>
        <w:ind w:left="0"/>
        <w:jc w:val="both"/>
        <w:rPr>
          <w:rFonts w:ascii="Times New Roman" w:hAnsi="Times New Roman"/>
          <w:color w:val="000000"/>
        </w:rPr>
      </w:pPr>
      <w:r>
        <w:rPr>
          <w:rFonts w:ascii="Times New Roman" w:hAnsi="Times New Roman"/>
          <w:color w:val="000000"/>
        </w:rPr>
        <w:t>Si sottolinea che l’aumento dei costi operativi nel triennio 2011/2013 è dovuto in massima parte dall’aumento dei costi per iniziative promozionali che passano nello stesso periodo da 18 a 37 milioni.</w:t>
      </w: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noProof/>
          <w:color w:val="000000"/>
          <w:lang w:eastAsia="it-IT"/>
        </w:rPr>
        <w:lastRenderedPageBreak/>
        <w:drawing>
          <wp:inline distT="0" distB="0" distL="0" distR="0">
            <wp:extent cx="6122559" cy="1883190"/>
            <wp:effectExtent l="19050" t="0" r="11541" b="2760"/>
            <wp:docPr id="11"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7A39" w:rsidRDefault="00A17A39" w:rsidP="00A17A39">
      <w:pPr>
        <w:pStyle w:val="Paragrafoelenco"/>
        <w:ind w:left="0"/>
        <w:jc w:val="both"/>
        <w:rPr>
          <w:rFonts w:ascii="Times New Roman" w:hAnsi="Times New Roman"/>
          <w:color w:val="000000"/>
        </w:rPr>
      </w:pPr>
    </w:p>
    <w:tbl>
      <w:tblPr>
        <w:tblW w:w="5000" w:type="pct"/>
        <w:tblCellMar>
          <w:left w:w="70" w:type="dxa"/>
          <w:right w:w="70" w:type="dxa"/>
        </w:tblCellMar>
        <w:tblLook w:val="04A0" w:firstRow="1" w:lastRow="0" w:firstColumn="1" w:lastColumn="0" w:noHBand="0" w:noVBand="1"/>
      </w:tblPr>
      <w:tblGrid>
        <w:gridCol w:w="2303"/>
        <w:gridCol w:w="1173"/>
        <w:gridCol w:w="1244"/>
        <w:gridCol w:w="1302"/>
        <w:gridCol w:w="1302"/>
        <w:gridCol w:w="1230"/>
        <w:gridCol w:w="1224"/>
      </w:tblGrid>
      <w:tr w:rsidR="00B707E0" w:rsidRPr="00ED095B" w:rsidTr="00B707E0">
        <w:trPr>
          <w:trHeight w:val="300"/>
        </w:trPr>
        <w:tc>
          <w:tcPr>
            <w:tcW w:w="1177" w:type="pct"/>
            <w:tcBorders>
              <w:top w:val="single" w:sz="8" w:space="0" w:color="auto"/>
              <w:left w:val="single" w:sz="8" w:space="0" w:color="auto"/>
              <w:bottom w:val="nil"/>
              <w:right w:val="nil"/>
            </w:tcBorders>
            <w:shd w:val="clear" w:color="auto" w:fill="auto"/>
            <w:noWrap/>
            <w:vAlign w:val="bottom"/>
            <w:hideMark/>
          </w:tcPr>
          <w:p w:rsidR="00B707E0" w:rsidRPr="00ED095B" w:rsidRDefault="00B707E0" w:rsidP="00DD302A">
            <w:pPr>
              <w:spacing w:after="0" w:line="240" w:lineRule="auto"/>
              <w:rPr>
                <w:rFonts w:ascii="Futura Bk" w:eastAsia="Times New Roman" w:hAnsi="Futura Bk" w:cs="Arial"/>
                <w:sz w:val="12"/>
                <w:szCs w:val="12"/>
                <w:lang w:eastAsia="it-IT"/>
              </w:rPr>
            </w:pPr>
            <w:r w:rsidRPr="00ED095B">
              <w:rPr>
                <w:rFonts w:ascii="Futura Bk" w:eastAsia="Times New Roman" w:hAnsi="Futura Bk" w:cs="Arial"/>
                <w:sz w:val="12"/>
                <w:szCs w:val="12"/>
                <w:lang w:eastAsia="it-IT"/>
              </w:rPr>
              <w:t> </w:t>
            </w:r>
          </w:p>
        </w:tc>
        <w:tc>
          <w:tcPr>
            <w:tcW w:w="600" w:type="pct"/>
            <w:tcBorders>
              <w:top w:val="single" w:sz="8" w:space="0" w:color="auto"/>
              <w:left w:val="nil"/>
              <w:bottom w:val="nil"/>
              <w:right w:val="single" w:sz="4" w:space="0" w:color="auto"/>
            </w:tcBorders>
            <w:shd w:val="clear" w:color="000000" w:fill="3366FF"/>
            <w:noWrap/>
            <w:vAlign w:val="bottom"/>
            <w:hideMark/>
          </w:tcPr>
          <w:p w:rsidR="00B707E0" w:rsidRPr="00ED095B" w:rsidRDefault="00B707E0" w:rsidP="00DD302A">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2009</w:t>
            </w:r>
          </w:p>
        </w:tc>
        <w:tc>
          <w:tcPr>
            <w:tcW w:w="636" w:type="pct"/>
            <w:tcBorders>
              <w:top w:val="single" w:sz="8" w:space="0" w:color="auto"/>
              <w:left w:val="nil"/>
              <w:bottom w:val="nil"/>
              <w:right w:val="single" w:sz="4" w:space="0" w:color="auto"/>
            </w:tcBorders>
            <w:shd w:val="clear" w:color="000000" w:fill="3366FF"/>
            <w:noWrap/>
            <w:vAlign w:val="bottom"/>
            <w:hideMark/>
          </w:tcPr>
          <w:p w:rsidR="00B707E0" w:rsidRPr="00ED095B" w:rsidRDefault="00B707E0" w:rsidP="00DD302A">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2010</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2011</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2012</w:t>
            </w:r>
          </w:p>
        </w:tc>
        <w:tc>
          <w:tcPr>
            <w:tcW w:w="629" w:type="pct"/>
            <w:tcBorders>
              <w:top w:val="single" w:sz="8" w:space="0" w:color="auto"/>
              <w:left w:val="nil"/>
              <w:bottom w:val="single" w:sz="4"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2013</w:t>
            </w:r>
          </w:p>
        </w:tc>
        <w:tc>
          <w:tcPr>
            <w:tcW w:w="627" w:type="pct"/>
            <w:tcBorders>
              <w:top w:val="single" w:sz="8" w:space="0" w:color="auto"/>
              <w:left w:val="single" w:sz="4" w:space="0" w:color="auto"/>
              <w:bottom w:val="single" w:sz="4"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2014</w:t>
            </w:r>
          </w:p>
        </w:tc>
      </w:tr>
      <w:tr w:rsidR="00B707E0" w:rsidRPr="00B707E0" w:rsidTr="00B707E0">
        <w:trPr>
          <w:trHeight w:val="300"/>
        </w:trPr>
        <w:tc>
          <w:tcPr>
            <w:tcW w:w="1177" w:type="pct"/>
            <w:tcBorders>
              <w:top w:val="single" w:sz="8" w:space="0" w:color="auto"/>
              <w:left w:val="single" w:sz="8" w:space="0" w:color="auto"/>
              <w:bottom w:val="nil"/>
              <w:right w:val="nil"/>
            </w:tcBorders>
            <w:shd w:val="clear" w:color="auto" w:fill="auto"/>
            <w:noWrap/>
            <w:vAlign w:val="bottom"/>
            <w:hideMark/>
          </w:tcPr>
          <w:p w:rsidR="00B707E0" w:rsidRPr="00B707E0" w:rsidRDefault="00B707E0" w:rsidP="00DD302A">
            <w:pPr>
              <w:spacing w:after="0" w:line="240" w:lineRule="auto"/>
              <w:rPr>
                <w:rFonts w:ascii="Futura Bk" w:eastAsia="Times New Roman" w:hAnsi="Futura Bk" w:cs="Arial"/>
                <w:b/>
                <w:sz w:val="12"/>
                <w:szCs w:val="12"/>
                <w:lang w:eastAsia="it-IT"/>
              </w:rPr>
            </w:pPr>
            <w:r w:rsidRPr="00B707E0">
              <w:rPr>
                <w:rFonts w:ascii="Futura Bk" w:eastAsia="Times New Roman" w:hAnsi="Futura Bk" w:cs="Arial"/>
                <w:b/>
                <w:sz w:val="12"/>
                <w:szCs w:val="12"/>
                <w:lang w:eastAsia="it-IT"/>
              </w:rPr>
              <w:t xml:space="preserve">MARGINE OPERATIVO </w:t>
            </w:r>
          </w:p>
        </w:tc>
        <w:tc>
          <w:tcPr>
            <w:tcW w:w="600" w:type="pct"/>
            <w:tcBorders>
              <w:top w:val="single" w:sz="8" w:space="0" w:color="auto"/>
              <w:left w:val="nil"/>
              <w:bottom w:val="nil"/>
              <w:right w:val="single" w:sz="4" w:space="0" w:color="auto"/>
            </w:tcBorders>
            <w:shd w:val="clear" w:color="000000" w:fill="3366FF"/>
            <w:noWrap/>
            <w:vAlign w:val="bottom"/>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r w:rsidRPr="00B707E0">
              <w:rPr>
                <w:rFonts w:ascii="Futura Bk" w:eastAsia="Times New Roman" w:hAnsi="Futura Bk" w:cs="Arial"/>
                <w:b/>
                <w:bCs/>
                <w:color w:val="FFFFFF"/>
                <w:sz w:val="12"/>
                <w:szCs w:val="12"/>
                <w:lang w:eastAsia="it-IT"/>
              </w:rPr>
              <w:t xml:space="preserve">             3.126,00 </w:t>
            </w:r>
          </w:p>
        </w:tc>
        <w:tc>
          <w:tcPr>
            <w:tcW w:w="636" w:type="pct"/>
            <w:tcBorders>
              <w:top w:val="single" w:sz="8" w:space="0" w:color="auto"/>
              <w:left w:val="nil"/>
              <w:bottom w:val="nil"/>
              <w:right w:val="single" w:sz="4" w:space="0" w:color="auto"/>
            </w:tcBorders>
            <w:shd w:val="clear" w:color="000000" w:fill="3366FF"/>
            <w:noWrap/>
            <w:vAlign w:val="bottom"/>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r w:rsidRPr="00B707E0">
              <w:rPr>
                <w:rFonts w:ascii="Futura Bk" w:eastAsia="Times New Roman" w:hAnsi="Futura Bk" w:cs="Arial"/>
                <w:b/>
                <w:bCs/>
                <w:color w:val="FFFFFF"/>
                <w:sz w:val="12"/>
                <w:szCs w:val="12"/>
                <w:lang w:eastAsia="it-IT"/>
              </w:rPr>
              <w:t xml:space="preserve">-             3.278,55 </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r w:rsidRPr="00B707E0">
              <w:rPr>
                <w:rFonts w:ascii="Futura Bk" w:eastAsia="Times New Roman" w:hAnsi="Futura Bk" w:cs="Arial"/>
                <w:b/>
                <w:bCs/>
                <w:color w:val="FFFFFF"/>
                <w:sz w:val="12"/>
                <w:szCs w:val="12"/>
                <w:lang w:eastAsia="it-IT"/>
              </w:rPr>
              <w:t xml:space="preserve">                 683,49 </w:t>
            </w:r>
          </w:p>
        </w:tc>
        <w:tc>
          <w:tcPr>
            <w:tcW w:w="666" w:type="pct"/>
            <w:tcBorders>
              <w:top w:val="single" w:sz="8" w:space="0" w:color="auto"/>
              <w:left w:val="nil"/>
              <w:bottom w:val="single" w:sz="4" w:space="0" w:color="auto"/>
              <w:right w:val="single" w:sz="4" w:space="0" w:color="auto"/>
            </w:tcBorders>
            <w:shd w:val="clear" w:color="000000" w:fill="3366FF"/>
            <w:noWrap/>
            <w:vAlign w:val="bottom"/>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r w:rsidRPr="00B707E0">
              <w:rPr>
                <w:rFonts w:ascii="Futura Bk" w:eastAsia="Times New Roman" w:hAnsi="Futura Bk" w:cs="Arial"/>
                <w:b/>
                <w:bCs/>
                <w:color w:val="FFFFFF"/>
                <w:sz w:val="12"/>
                <w:szCs w:val="12"/>
                <w:lang w:eastAsia="it-IT"/>
              </w:rPr>
              <w:t xml:space="preserve">-                718,11 </w:t>
            </w:r>
          </w:p>
        </w:tc>
        <w:tc>
          <w:tcPr>
            <w:tcW w:w="629" w:type="pct"/>
            <w:tcBorders>
              <w:top w:val="single" w:sz="8" w:space="0" w:color="auto"/>
              <w:left w:val="nil"/>
              <w:bottom w:val="single" w:sz="4" w:space="0" w:color="auto"/>
              <w:right w:val="single" w:sz="8" w:space="0" w:color="auto"/>
            </w:tcBorders>
            <w:shd w:val="clear" w:color="000000" w:fill="3366FF"/>
            <w:noWrap/>
            <w:vAlign w:val="bottom"/>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r w:rsidRPr="00B707E0">
              <w:rPr>
                <w:rFonts w:ascii="Futura Bk" w:eastAsia="Times New Roman" w:hAnsi="Futura Bk" w:cs="Arial"/>
                <w:b/>
                <w:bCs/>
                <w:color w:val="FFFFFF"/>
                <w:sz w:val="12"/>
                <w:szCs w:val="12"/>
                <w:lang w:eastAsia="it-IT"/>
              </w:rPr>
              <w:t xml:space="preserve">-         12.199,99 </w:t>
            </w:r>
          </w:p>
        </w:tc>
        <w:tc>
          <w:tcPr>
            <w:tcW w:w="627" w:type="pct"/>
            <w:tcBorders>
              <w:top w:val="single" w:sz="8" w:space="0" w:color="auto"/>
              <w:left w:val="single" w:sz="4" w:space="0" w:color="auto"/>
              <w:bottom w:val="single" w:sz="4" w:space="0" w:color="auto"/>
              <w:right w:val="single" w:sz="8" w:space="0" w:color="auto"/>
            </w:tcBorders>
            <w:shd w:val="clear" w:color="000000" w:fill="3366FF"/>
            <w:noWrap/>
            <w:vAlign w:val="bottom"/>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r w:rsidRPr="00B707E0">
              <w:rPr>
                <w:rFonts w:ascii="Futura Bk" w:eastAsia="Times New Roman" w:hAnsi="Futura Bk" w:cs="Arial"/>
                <w:b/>
                <w:bCs/>
                <w:color w:val="FFFFFF"/>
                <w:sz w:val="12"/>
                <w:szCs w:val="12"/>
                <w:lang w:eastAsia="it-IT"/>
              </w:rPr>
              <w:t xml:space="preserve">-         18.501,24 </w:t>
            </w:r>
          </w:p>
        </w:tc>
      </w:tr>
    </w:tbl>
    <w:p w:rsidR="00B707E0" w:rsidRDefault="00B707E0" w:rsidP="00756DF7">
      <w:pPr>
        <w:pStyle w:val="Paragrafoelenco"/>
        <w:ind w:left="0"/>
        <w:jc w:val="both"/>
        <w:rPr>
          <w:rFonts w:ascii="Times New Roman" w:hAnsi="Times New Roman"/>
          <w:b/>
          <w:bCs/>
          <w:i/>
          <w:iCs/>
          <w:color w:val="000000"/>
        </w:rPr>
      </w:pPr>
    </w:p>
    <w:p w:rsidR="00756DF7" w:rsidRPr="0032197E" w:rsidRDefault="00B707E0" w:rsidP="00756DF7">
      <w:pPr>
        <w:pStyle w:val="Paragrafoelenco"/>
        <w:ind w:left="0"/>
        <w:jc w:val="both"/>
        <w:rPr>
          <w:rFonts w:ascii="Times New Roman" w:hAnsi="Times New Roman"/>
          <w:color w:val="000000"/>
        </w:rPr>
      </w:pPr>
      <w:r>
        <w:rPr>
          <w:rFonts w:ascii="Times New Roman" w:hAnsi="Times New Roman"/>
          <w:b/>
          <w:bCs/>
          <w:i/>
          <w:iCs/>
          <w:color w:val="000000"/>
        </w:rPr>
        <w:tab/>
      </w:r>
      <w:r w:rsidR="00756DF7" w:rsidRPr="0032197E">
        <w:rPr>
          <w:rFonts w:ascii="Times New Roman" w:hAnsi="Times New Roman"/>
          <w:b/>
          <w:bCs/>
          <w:i/>
          <w:iCs/>
          <w:color w:val="000000"/>
        </w:rPr>
        <w:t xml:space="preserve">Il margine operativo lordo </w:t>
      </w:r>
      <w:r w:rsidR="00756DF7" w:rsidRPr="0032197E">
        <w:rPr>
          <w:rFonts w:ascii="Times New Roman" w:hAnsi="Times New Roman"/>
          <w:i/>
          <w:iCs/>
          <w:color w:val="000000"/>
        </w:rPr>
        <w:t>sottolinea</w:t>
      </w:r>
      <w:r w:rsidR="00756DF7" w:rsidRPr="0032197E">
        <w:rPr>
          <w:rFonts w:ascii="Times New Roman" w:hAnsi="Times New Roman"/>
          <w:color w:val="000000"/>
        </w:rPr>
        <w:t xml:space="preserve"> quanto la gestione corrente è finanziata con i ricavi dell'anno. Nel caso della C.C.I.A.A. di Napoli, un margine negativo evidenzia un maggior prelevamento dalle disponibilità liquide esistenti (Cassa) e rappresenta un indice di attenzione nel medio e lungo termine poiché un margine negativo nel tempo potrebbe erodere la Cassa dell'Ente.</w:t>
      </w:r>
    </w:p>
    <w:p w:rsidR="00A17A39" w:rsidRDefault="00A17A39" w:rsidP="00A17A39">
      <w:pPr>
        <w:pStyle w:val="Paragrafoelenco"/>
        <w:ind w:left="0"/>
        <w:jc w:val="both"/>
        <w:rPr>
          <w:rFonts w:ascii="Times New Roman" w:hAnsi="Times New Roman"/>
          <w:color w:val="000000"/>
        </w:rPr>
      </w:pPr>
    </w:p>
    <w:p w:rsidR="00B13F6F" w:rsidRDefault="00A17A39" w:rsidP="00A17A39">
      <w:pPr>
        <w:pStyle w:val="Paragrafoelenco"/>
        <w:ind w:left="0"/>
        <w:jc w:val="both"/>
        <w:rPr>
          <w:rFonts w:ascii="Times New Roman" w:hAnsi="Times New Roman"/>
          <w:color w:val="000000"/>
        </w:rPr>
      </w:pPr>
      <w:r w:rsidRPr="00A17A39">
        <w:rPr>
          <w:rFonts w:ascii="Times New Roman" w:hAnsi="Times New Roman"/>
          <w:noProof/>
          <w:color w:val="000000"/>
          <w:lang w:eastAsia="it-IT"/>
        </w:rPr>
        <w:drawing>
          <wp:inline distT="0" distB="0" distL="0" distR="0">
            <wp:extent cx="6123940" cy="2257425"/>
            <wp:effectExtent l="19050" t="0" r="10160" b="0"/>
            <wp:docPr id="12"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noProof/>
          <w:color w:val="000000"/>
          <w:lang w:eastAsia="it-IT"/>
        </w:rPr>
        <w:drawing>
          <wp:inline distT="0" distB="0" distL="0" distR="0">
            <wp:extent cx="6125099" cy="2289976"/>
            <wp:effectExtent l="19050" t="0" r="28051" b="0"/>
            <wp:docPr id="13"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6DF7" w:rsidRDefault="00756DF7" w:rsidP="00A17A39">
      <w:pPr>
        <w:pStyle w:val="Paragrafoelenco"/>
        <w:ind w:left="0"/>
        <w:jc w:val="both"/>
        <w:rPr>
          <w:rFonts w:ascii="Times New Roman" w:hAnsi="Times New Roman"/>
          <w:color w:val="000000"/>
        </w:rPr>
      </w:pPr>
    </w:p>
    <w:p w:rsidR="00B707E0" w:rsidRDefault="00B707E0">
      <w:pPr>
        <w:rPr>
          <w:rFonts w:ascii="Times New Roman" w:hAnsi="Times New Roman"/>
          <w:color w:val="000000"/>
        </w:rPr>
      </w:pPr>
      <w:r>
        <w:rPr>
          <w:rFonts w:ascii="Times New Roman" w:hAnsi="Times New Roman"/>
          <w:color w:val="000000"/>
        </w:rPr>
        <w:br w:type="page"/>
      </w:r>
    </w:p>
    <w:tbl>
      <w:tblPr>
        <w:tblW w:w="5000" w:type="pct"/>
        <w:tblCellMar>
          <w:left w:w="70" w:type="dxa"/>
          <w:right w:w="70" w:type="dxa"/>
        </w:tblCellMar>
        <w:tblLook w:val="04A0" w:firstRow="1" w:lastRow="0" w:firstColumn="1" w:lastColumn="0" w:noHBand="0" w:noVBand="1"/>
      </w:tblPr>
      <w:tblGrid>
        <w:gridCol w:w="2301"/>
        <w:gridCol w:w="1173"/>
        <w:gridCol w:w="1244"/>
        <w:gridCol w:w="1302"/>
        <w:gridCol w:w="1302"/>
        <w:gridCol w:w="1230"/>
        <w:gridCol w:w="1226"/>
      </w:tblGrid>
      <w:tr w:rsidR="00B707E0" w:rsidRPr="00ED095B" w:rsidTr="00B707E0">
        <w:trPr>
          <w:trHeight w:val="510"/>
        </w:trPr>
        <w:tc>
          <w:tcPr>
            <w:tcW w:w="1176" w:type="pct"/>
            <w:tcBorders>
              <w:top w:val="nil"/>
              <w:left w:val="single" w:sz="8" w:space="0" w:color="auto"/>
              <w:bottom w:val="single" w:sz="4" w:space="0" w:color="auto"/>
              <w:right w:val="single" w:sz="4" w:space="0" w:color="auto"/>
            </w:tcBorders>
            <w:shd w:val="clear" w:color="000000" w:fill="3366FF"/>
            <w:vAlign w:val="center"/>
            <w:hideMark/>
          </w:tcPr>
          <w:p w:rsidR="00B707E0" w:rsidRPr="00B707E0" w:rsidRDefault="00B707E0" w:rsidP="00B707E0">
            <w:pPr>
              <w:spacing w:after="0" w:line="240" w:lineRule="auto"/>
              <w:jc w:val="center"/>
              <w:rPr>
                <w:rFonts w:ascii="Futura Bk" w:eastAsia="Times New Roman" w:hAnsi="Futura Bk" w:cs="Arial"/>
                <w:b/>
                <w:bCs/>
                <w:color w:val="FFFFFF"/>
                <w:sz w:val="12"/>
                <w:szCs w:val="12"/>
                <w:lang w:eastAsia="it-IT"/>
              </w:rPr>
            </w:pPr>
          </w:p>
        </w:tc>
        <w:tc>
          <w:tcPr>
            <w:tcW w:w="600"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B707E0">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2009</w:t>
            </w:r>
          </w:p>
        </w:tc>
        <w:tc>
          <w:tcPr>
            <w:tcW w:w="63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B707E0">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2010</w:t>
            </w:r>
          </w:p>
        </w:tc>
        <w:tc>
          <w:tcPr>
            <w:tcW w:w="66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B707E0">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2011</w:t>
            </w:r>
          </w:p>
        </w:tc>
        <w:tc>
          <w:tcPr>
            <w:tcW w:w="66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B707E0">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2012</w:t>
            </w:r>
          </w:p>
        </w:tc>
        <w:tc>
          <w:tcPr>
            <w:tcW w:w="629" w:type="pct"/>
            <w:tcBorders>
              <w:top w:val="nil"/>
              <w:left w:val="nil"/>
              <w:bottom w:val="single" w:sz="4" w:space="0" w:color="auto"/>
              <w:right w:val="single" w:sz="8" w:space="0" w:color="auto"/>
            </w:tcBorders>
            <w:shd w:val="clear" w:color="000000" w:fill="3366FF"/>
            <w:noWrap/>
            <w:vAlign w:val="bottom"/>
            <w:hideMark/>
          </w:tcPr>
          <w:p w:rsidR="00B707E0" w:rsidRPr="00ED095B" w:rsidRDefault="00B707E0" w:rsidP="00B707E0">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2013</w:t>
            </w:r>
          </w:p>
        </w:tc>
        <w:tc>
          <w:tcPr>
            <w:tcW w:w="628" w:type="pct"/>
            <w:tcBorders>
              <w:top w:val="nil"/>
              <w:left w:val="single" w:sz="4" w:space="0" w:color="auto"/>
              <w:bottom w:val="single" w:sz="4" w:space="0" w:color="auto"/>
              <w:right w:val="single" w:sz="8" w:space="0" w:color="auto"/>
            </w:tcBorders>
            <w:shd w:val="clear" w:color="000000" w:fill="3366FF"/>
            <w:noWrap/>
            <w:vAlign w:val="bottom"/>
            <w:hideMark/>
          </w:tcPr>
          <w:p w:rsidR="00B707E0" w:rsidRPr="00ED095B" w:rsidRDefault="00B707E0" w:rsidP="00B707E0">
            <w:pPr>
              <w:spacing w:after="0" w:line="240" w:lineRule="auto"/>
              <w:jc w:val="center"/>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2014</w:t>
            </w:r>
          </w:p>
        </w:tc>
      </w:tr>
      <w:tr w:rsidR="00B707E0" w:rsidRPr="00ED095B" w:rsidTr="00B707E0">
        <w:trPr>
          <w:trHeight w:val="510"/>
        </w:trPr>
        <w:tc>
          <w:tcPr>
            <w:tcW w:w="1176" w:type="pct"/>
            <w:tcBorders>
              <w:top w:val="nil"/>
              <w:left w:val="single" w:sz="8" w:space="0" w:color="auto"/>
              <w:bottom w:val="single" w:sz="4" w:space="0" w:color="auto"/>
              <w:right w:val="single" w:sz="4" w:space="0" w:color="auto"/>
            </w:tcBorders>
            <w:shd w:val="clear" w:color="000000" w:fill="3366FF"/>
            <w:vAlign w:val="center"/>
            <w:hideMark/>
          </w:tcPr>
          <w:p w:rsidR="00B707E0" w:rsidRPr="00ED095B" w:rsidRDefault="00B707E0" w:rsidP="00DD302A">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FLUSSO DI CASSA OPERATIVO (T) </w:t>
            </w:r>
          </w:p>
        </w:tc>
        <w:tc>
          <w:tcPr>
            <w:tcW w:w="600"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21.238,00 </w:t>
            </w:r>
          </w:p>
        </w:tc>
        <w:tc>
          <w:tcPr>
            <w:tcW w:w="63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11.719,95 </w:t>
            </w:r>
          </w:p>
        </w:tc>
        <w:tc>
          <w:tcPr>
            <w:tcW w:w="66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9.463,87 </w:t>
            </w:r>
          </w:p>
        </w:tc>
        <w:tc>
          <w:tcPr>
            <w:tcW w:w="66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4.060,75 </w:t>
            </w:r>
          </w:p>
        </w:tc>
        <w:tc>
          <w:tcPr>
            <w:tcW w:w="629" w:type="pct"/>
            <w:tcBorders>
              <w:top w:val="nil"/>
              <w:left w:val="nil"/>
              <w:bottom w:val="single" w:sz="4"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13.167,16 </w:t>
            </w:r>
          </w:p>
        </w:tc>
        <w:tc>
          <w:tcPr>
            <w:tcW w:w="628" w:type="pct"/>
            <w:tcBorders>
              <w:top w:val="nil"/>
              <w:left w:val="single" w:sz="4" w:space="0" w:color="auto"/>
              <w:bottom w:val="single" w:sz="4"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27.422,84 </w:t>
            </w:r>
          </w:p>
        </w:tc>
      </w:tr>
      <w:tr w:rsidR="00B707E0" w:rsidRPr="00ED095B" w:rsidTr="00B707E0">
        <w:trPr>
          <w:trHeight w:val="255"/>
        </w:trPr>
        <w:tc>
          <w:tcPr>
            <w:tcW w:w="1176" w:type="pct"/>
            <w:tcBorders>
              <w:top w:val="nil"/>
              <w:left w:val="single" w:sz="8" w:space="0" w:color="auto"/>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 INVESTIMENTI </w:t>
            </w:r>
          </w:p>
        </w:tc>
        <w:tc>
          <w:tcPr>
            <w:tcW w:w="600"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4.017,00 </w:t>
            </w:r>
          </w:p>
        </w:tc>
        <w:tc>
          <w:tcPr>
            <w:tcW w:w="63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1.422,39 </w:t>
            </w:r>
          </w:p>
        </w:tc>
        <w:tc>
          <w:tcPr>
            <w:tcW w:w="66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2.311,84 </w:t>
            </w:r>
          </w:p>
        </w:tc>
        <w:tc>
          <w:tcPr>
            <w:tcW w:w="66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2.152,27 </w:t>
            </w:r>
          </w:p>
        </w:tc>
        <w:tc>
          <w:tcPr>
            <w:tcW w:w="629" w:type="pct"/>
            <w:tcBorders>
              <w:top w:val="nil"/>
              <w:left w:val="nil"/>
              <w:bottom w:val="single" w:sz="4" w:space="0" w:color="auto"/>
              <w:right w:val="single" w:sz="8"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6.760,50 </w:t>
            </w:r>
          </w:p>
        </w:tc>
        <w:tc>
          <w:tcPr>
            <w:tcW w:w="628" w:type="pct"/>
            <w:tcBorders>
              <w:top w:val="nil"/>
              <w:left w:val="single" w:sz="4" w:space="0" w:color="auto"/>
              <w:bottom w:val="single" w:sz="4" w:space="0" w:color="auto"/>
              <w:right w:val="single" w:sz="8"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7.435,39 </w:t>
            </w:r>
          </w:p>
        </w:tc>
      </w:tr>
      <w:tr w:rsidR="00B707E0" w:rsidRPr="00ED095B" w:rsidTr="00B707E0">
        <w:trPr>
          <w:trHeight w:val="330"/>
        </w:trPr>
        <w:tc>
          <w:tcPr>
            <w:tcW w:w="1176" w:type="pct"/>
            <w:tcBorders>
              <w:top w:val="nil"/>
              <w:left w:val="single" w:sz="8" w:space="0" w:color="auto"/>
              <w:bottom w:val="single" w:sz="4" w:space="0" w:color="auto"/>
              <w:right w:val="single" w:sz="4" w:space="0" w:color="auto"/>
            </w:tcBorders>
            <w:shd w:val="clear" w:color="000000" w:fill="3366FF"/>
            <w:vAlign w:val="center"/>
            <w:hideMark/>
          </w:tcPr>
          <w:p w:rsidR="00B707E0" w:rsidRPr="00ED095B" w:rsidRDefault="00B707E0" w:rsidP="00DD302A">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FLUSSO DI CASSA </w:t>
            </w:r>
          </w:p>
        </w:tc>
        <w:tc>
          <w:tcPr>
            <w:tcW w:w="600"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17.221,00 </w:t>
            </w:r>
          </w:p>
        </w:tc>
        <w:tc>
          <w:tcPr>
            <w:tcW w:w="63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10.297,57 </w:t>
            </w:r>
          </w:p>
        </w:tc>
        <w:tc>
          <w:tcPr>
            <w:tcW w:w="66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7.152,03 </w:t>
            </w:r>
          </w:p>
        </w:tc>
        <w:tc>
          <w:tcPr>
            <w:tcW w:w="666" w:type="pct"/>
            <w:tcBorders>
              <w:top w:val="nil"/>
              <w:left w:val="nil"/>
              <w:bottom w:val="single" w:sz="4"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1.908,48 </w:t>
            </w:r>
          </w:p>
        </w:tc>
        <w:tc>
          <w:tcPr>
            <w:tcW w:w="629" w:type="pct"/>
            <w:tcBorders>
              <w:top w:val="nil"/>
              <w:left w:val="nil"/>
              <w:bottom w:val="single" w:sz="4"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6.406,66 </w:t>
            </w:r>
          </w:p>
        </w:tc>
        <w:tc>
          <w:tcPr>
            <w:tcW w:w="628" w:type="pct"/>
            <w:tcBorders>
              <w:top w:val="nil"/>
              <w:left w:val="single" w:sz="4" w:space="0" w:color="auto"/>
              <w:bottom w:val="single" w:sz="4"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34.858,23 </w:t>
            </w:r>
          </w:p>
        </w:tc>
      </w:tr>
      <w:tr w:rsidR="00B707E0" w:rsidRPr="00ED095B" w:rsidTr="00B707E0">
        <w:trPr>
          <w:trHeight w:val="255"/>
        </w:trPr>
        <w:tc>
          <w:tcPr>
            <w:tcW w:w="1176" w:type="pct"/>
            <w:tcBorders>
              <w:top w:val="nil"/>
              <w:left w:val="single" w:sz="8" w:space="0" w:color="auto"/>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CASSA INIZIALE </w:t>
            </w:r>
          </w:p>
        </w:tc>
        <w:tc>
          <w:tcPr>
            <w:tcW w:w="600"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43.895,00 </w:t>
            </w:r>
          </w:p>
        </w:tc>
        <w:tc>
          <w:tcPr>
            <w:tcW w:w="63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61.208,00 </w:t>
            </w:r>
          </w:p>
        </w:tc>
        <w:tc>
          <w:tcPr>
            <w:tcW w:w="66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71.484,49 </w:t>
            </w:r>
          </w:p>
        </w:tc>
        <w:tc>
          <w:tcPr>
            <w:tcW w:w="66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79.062,19 </w:t>
            </w:r>
          </w:p>
        </w:tc>
        <w:tc>
          <w:tcPr>
            <w:tcW w:w="629" w:type="pct"/>
            <w:tcBorders>
              <w:top w:val="nil"/>
              <w:left w:val="nil"/>
              <w:bottom w:val="single" w:sz="4" w:space="0" w:color="auto"/>
              <w:right w:val="single" w:sz="8"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81.108,07 </w:t>
            </w:r>
          </w:p>
        </w:tc>
        <w:tc>
          <w:tcPr>
            <w:tcW w:w="628" w:type="pct"/>
            <w:tcBorders>
              <w:top w:val="nil"/>
              <w:left w:val="single" w:sz="4" w:space="0" w:color="auto"/>
              <w:bottom w:val="single" w:sz="4" w:space="0" w:color="auto"/>
              <w:right w:val="single" w:sz="8"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87.514,72 </w:t>
            </w:r>
          </w:p>
        </w:tc>
      </w:tr>
      <w:tr w:rsidR="00B707E0" w:rsidRPr="00ED095B" w:rsidTr="00B707E0">
        <w:trPr>
          <w:trHeight w:val="270"/>
        </w:trPr>
        <w:tc>
          <w:tcPr>
            <w:tcW w:w="1176" w:type="pct"/>
            <w:tcBorders>
              <w:top w:val="nil"/>
              <w:left w:val="single" w:sz="8" w:space="0" w:color="auto"/>
              <w:bottom w:val="nil"/>
              <w:right w:val="single" w:sz="4" w:space="0" w:color="auto"/>
            </w:tcBorders>
            <w:shd w:val="clear" w:color="auto" w:fill="auto"/>
            <w:vAlign w:val="center"/>
            <w:hideMark/>
          </w:tcPr>
          <w:p w:rsidR="00B707E0" w:rsidRPr="00ED095B" w:rsidRDefault="00B707E0" w:rsidP="00DD302A">
            <w:pPr>
              <w:spacing w:after="0" w:line="240" w:lineRule="auto"/>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00" w:type="pct"/>
            <w:tcBorders>
              <w:top w:val="nil"/>
              <w:left w:val="nil"/>
              <w:bottom w:val="nil"/>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36" w:type="pct"/>
            <w:tcBorders>
              <w:top w:val="nil"/>
              <w:left w:val="nil"/>
              <w:bottom w:val="single" w:sz="8"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66" w:type="pct"/>
            <w:tcBorders>
              <w:top w:val="nil"/>
              <w:left w:val="nil"/>
              <w:bottom w:val="single" w:sz="4" w:space="0" w:color="auto"/>
              <w:right w:val="single" w:sz="4"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9" w:type="pct"/>
            <w:tcBorders>
              <w:top w:val="nil"/>
              <w:left w:val="nil"/>
              <w:bottom w:val="single" w:sz="4" w:space="0" w:color="auto"/>
              <w:right w:val="single" w:sz="8"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8" w:type="pct"/>
            <w:tcBorders>
              <w:top w:val="nil"/>
              <w:left w:val="single" w:sz="4" w:space="0" w:color="auto"/>
              <w:bottom w:val="single" w:sz="4" w:space="0" w:color="auto"/>
              <w:right w:val="single" w:sz="8" w:space="0" w:color="auto"/>
            </w:tcBorders>
            <w:shd w:val="clear" w:color="auto" w:fill="auto"/>
            <w:noWrap/>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B707E0" w:rsidRPr="00ED095B" w:rsidTr="00B707E0">
        <w:trPr>
          <w:trHeight w:val="300"/>
        </w:trPr>
        <w:tc>
          <w:tcPr>
            <w:tcW w:w="1176" w:type="pct"/>
            <w:tcBorders>
              <w:top w:val="single" w:sz="8" w:space="0" w:color="auto"/>
              <w:left w:val="single" w:sz="8" w:space="0" w:color="auto"/>
              <w:bottom w:val="single" w:sz="8" w:space="0" w:color="auto"/>
              <w:right w:val="single" w:sz="4" w:space="0" w:color="auto"/>
            </w:tcBorders>
            <w:shd w:val="clear" w:color="000000" w:fill="3366FF"/>
            <w:vAlign w:val="center"/>
            <w:hideMark/>
          </w:tcPr>
          <w:p w:rsidR="00B707E0" w:rsidRPr="00ED095B" w:rsidRDefault="00B707E0" w:rsidP="00DD302A">
            <w:pPr>
              <w:spacing w:after="0" w:line="240" w:lineRule="auto"/>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CASSA FINALE </w:t>
            </w:r>
          </w:p>
        </w:tc>
        <w:tc>
          <w:tcPr>
            <w:tcW w:w="600" w:type="pct"/>
            <w:tcBorders>
              <w:top w:val="single" w:sz="8" w:space="0" w:color="auto"/>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61.208,00 </w:t>
            </w:r>
          </w:p>
        </w:tc>
        <w:tc>
          <w:tcPr>
            <w:tcW w:w="636" w:type="pct"/>
            <w:tcBorders>
              <w:top w:val="nil"/>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71.484,93 </w:t>
            </w:r>
          </w:p>
        </w:tc>
        <w:tc>
          <w:tcPr>
            <w:tcW w:w="666" w:type="pct"/>
            <w:tcBorders>
              <w:top w:val="nil"/>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79.062,52 </w:t>
            </w:r>
          </w:p>
        </w:tc>
        <w:tc>
          <w:tcPr>
            <w:tcW w:w="666" w:type="pct"/>
            <w:tcBorders>
              <w:top w:val="nil"/>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81.108,07 </w:t>
            </w:r>
          </w:p>
        </w:tc>
        <w:tc>
          <w:tcPr>
            <w:tcW w:w="629" w:type="pct"/>
            <w:tcBorders>
              <w:top w:val="nil"/>
              <w:left w:val="nil"/>
              <w:bottom w:val="single" w:sz="8"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87.514,72 </w:t>
            </w:r>
          </w:p>
        </w:tc>
        <w:tc>
          <w:tcPr>
            <w:tcW w:w="628" w:type="pct"/>
            <w:tcBorders>
              <w:top w:val="nil"/>
              <w:left w:val="single" w:sz="4" w:space="0" w:color="auto"/>
              <w:bottom w:val="single" w:sz="8"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52.656,50 </w:t>
            </w:r>
          </w:p>
        </w:tc>
      </w:tr>
      <w:tr w:rsidR="00B707E0" w:rsidRPr="00ED095B" w:rsidTr="00B707E0">
        <w:trPr>
          <w:trHeight w:val="270"/>
        </w:trPr>
        <w:tc>
          <w:tcPr>
            <w:tcW w:w="2412" w:type="pct"/>
            <w:gridSpan w:val="3"/>
            <w:tcBorders>
              <w:top w:val="nil"/>
              <w:left w:val="single" w:sz="8" w:space="0" w:color="auto"/>
              <w:bottom w:val="nil"/>
              <w:right w:val="nil"/>
            </w:tcBorders>
            <w:shd w:val="clear" w:color="auto" w:fill="auto"/>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xml:space="preserve">. </w:t>
            </w:r>
          </w:p>
        </w:tc>
        <w:tc>
          <w:tcPr>
            <w:tcW w:w="666" w:type="pct"/>
            <w:tcBorders>
              <w:top w:val="nil"/>
              <w:left w:val="nil"/>
              <w:bottom w:val="nil"/>
              <w:right w:val="nil"/>
            </w:tcBorders>
            <w:shd w:val="clear" w:color="auto" w:fill="auto"/>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p>
        </w:tc>
        <w:tc>
          <w:tcPr>
            <w:tcW w:w="666" w:type="pct"/>
            <w:tcBorders>
              <w:top w:val="nil"/>
              <w:left w:val="nil"/>
              <w:bottom w:val="nil"/>
              <w:right w:val="nil"/>
            </w:tcBorders>
            <w:shd w:val="clear" w:color="auto" w:fill="auto"/>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p>
        </w:tc>
        <w:tc>
          <w:tcPr>
            <w:tcW w:w="629" w:type="pct"/>
            <w:tcBorders>
              <w:top w:val="single" w:sz="4" w:space="0" w:color="auto"/>
              <w:left w:val="single" w:sz="8" w:space="0" w:color="auto"/>
              <w:bottom w:val="nil"/>
              <w:right w:val="single" w:sz="8" w:space="0" w:color="auto"/>
            </w:tcBorders>
            <w:shd w:val="clear" w:color="auto" w:fill="auto"/>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c>
          <w:tcPr>
            <w:tcW w:w="628" w:type="pct"/>
            <w:tcBorders>
              <w:top w:val="single" w:sz="4" w:space="0" w:color="auto"/>
              <w:left w:val="nil"/>
              <w:bottom w:val="nil"/>
              <w:right w:val="single" w:sz="8" w:space="0" w:color="auto"/>
            </w:tcBorders>
            <w:shd w:val="clear" w:color="auto" w:fill="auto"/>
            <w:vAlign w:val="bottom"/>
            <w:hideMark/>
          </w:tcPr>
          <w:p w:rsidR="00B707E0" w:rsidRPr="00ED095B" w:rsidRDefault="00B707E0" w:rsidP="00DD302A">
            <w:pPr>
              <w:spacing w:after="0" w:line="240" w:lineRule="auto"/>
              <w:jc w:val="right"/>
              <w:rPr>
                <w:rFonts w:ascii="Arial" w:eastAsia="Times New Roman" w:hAnsi="Arial" w:cs="Arial"/>
                <w:sz w:val="12"/>
                <w:szCs w:val="12"/>
                <w:lang w:eastAsia="it-IT"/>
              </w:rPr>
            </w:pPr>
            <w:r w:rsidRPr="00ED095B">
              <w:rPr>
                <w:rFonts w:ascii="Arial" w:eastAsia="Times New Roman" w:hAnsi="Arial" w:cs="Arial"/>
                <w:sz w:val="12"/>
                <w:szCs w:val="12"/>
                <w:lang w:eastAsia="it-IT"/>
              </w:rPr>
              <w:t> </w:t>
            </w:r>
          </w:p>
        </w:tc>
      </w:tr>
      <w:tr w:rsidR="00B707E0" w:rsidRPr="00ED095B" w:rsidTr="00B707E0">
        <w:trPr>
          <w:trHeight w:val="315"/>
        </w:trPr>
        <w:tc>
          <w:tcPr>
            <w:tcW w:w="1176" w:type="pct"/>
            <w:tcBorders>
              <w:top w:val="nil"/>
              <w:left w:val="single" w:sz="8" w:space="0" w:color="auto"/>
              <w:bottom w:val="single" w:sz="8" w:space="0" w:color="auto"/>
              <w:right w:val="nil"/>
            </w:tcBorders>
            <w:shd w:val="clear" w:color="auto" w:fill="auto"/>
            <w:noWrap/>
            <w:vAlign w:val="bottom"/>
            <w:hideMark/>
          </w:tcPr>
          <w:p w:rsidR="00B707E0" w:rsidRPr="00ED095B" w:rsidRDefault="00B707E0" w:rsidP="00DD302A">
            <w:pPr>
              <w:spacing w:after="0" w:line="240" w:lineRule="auto"/>
              <w:rPr>
                <w:rFonts w:ascii="Courier New" w:eastAsia="Times New Roman" w:hAnsi="Courier New" w:cs="Courier New"/>
                <w:sz w:val="12"/>
                <w:szCs w:val="12"/>
                <w:lang w:eastAsia="it-IT"/>
              </w:rPr>
            </w:pPr>
            <w:r w:rsidRPr="00ED095B">
              <w:rPr>
                <w:rFonts w:ascii="Courier New" w:eastAsia="Times New Roman" w:hAnsi="Courier New" w:cs="Courier New"/>
                <w:sz w:val="12"/>
                <w:szCs w:val="12"/>
                <w:lang w:eastAsia="it-IT"/>
              </w:rPr>
              <w:t> </w:t>
            </w:r>
          </w:p>
        </w:tc>
        <w:tc>
          <w:tcPr>
            <w:tcW w:w="600" w:type="pct"/>
            <w:tcBorders>
              <w:top w:val="single" w:sz="8" w:space="0" w:color="auto"/>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61.208,00 </w:t>
            </w:r>
          </w:p>
        </w:tc>
        <w:tc>
          <w:tcPr>
            <w:tcW w:w="636" w:type="pct"/>
            <w:tcBorders>
              <w:top w:val="single" w:sz="8" w:space="0" w:color="auto"/>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71.484,93 </w:t>
            </w:r>
          </w:p>
        </w:tc>
        <w:tc>
          <w:tcPr>
            <w:tcW w:w="666" w:type="pct"/>
            <w:tcBorders>
              <w:top w:val="single" w:sz="8" w:space="0" w:color="auto"/>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79.062,19 </w:t>
            </w:r>
          </w:p>
        </w:tc>
        <w:tc>
          <w:tcPr>
            <w:tcW w:w="666" w:type="pct"/>
            <w:tcBorders>
              <w:top w:val="single" w:sz="8" w:space="0" w:color="auto"/>
              <w:left w:val="nil"/>
              <w:bottom w:val="single" w:sz="8" w:space="0" w:color="auto"/>
              <w:right w:val="single" w:sz="4"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81.108,07 </w:t>
            </w:r>
          </w:p>
        </w:tc>
        <w:tc>
          <w:tcPr>
            <w:tcW w:w="629" w:type="pct"/>
            <w:tcBorders>
              <w:top w:val="single" w:sz="8" w:space="0" w:color="auto"/>
              <w:left w:val="nil"/>
              <w:bottom w:val="single" w:sz="8"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87.514,72 </w:t>
            </w:r>
          </w:p>
        </w:tc>
        <w:tc>
          <w:tcPr>
            <w:tcW w:w="628" w:type="pct"/>
            <w:tcBorders>
              <w:top w:val="single" w:sz="8" w:space="0" w:color="auto"/>
              <w:left w:val="nil"/>
              <w:bottom w:val="single" w:sz="8" w:space="0" w:color="auto"/>
              <w:right w:val="single" w:sz="8" w:space="0" w:color="auto"/>
            </w:tcBorders>
            <w:shd w:val="clear" w:color="000000" w:fill="3366FF"/>
            <w:noWrap/>
            <w:vAlign w:val="bottom"/>
            <w:hideMark/>
          </w:tcPr>
          <w:p w:rsidR="00B707E0" w:rsidRPr="00ED095B" w:rsidRDefault="00B707E0" w:rsidP="00DD302A">
            <w:pPr>
              <w:spacing w:after="0" w:line="240" w:lineRule="auto"/>
              <w:jc w:val="right"/>
              <w:rPr>
                <w:rFonts w:ascii="Futura Bk" w:eastAsia="Times New Roman" w:hAnsi="Futura Bk" w:cs="Arial"/>
                <w:b/>
                <w:bCs/>
                <w:color w:val="FFFFFF"/>
                <w:sz w:val="12"/>
                <w:szCs w:val="12"/>
                <w:lang w:eastAsia="it-IT"/>
              </w:rPr>
            </w:pPr>
            <w:r w:rsidRPr="00ED095B">
              <w:rPr>
                <w:rFonts w:ascii="Futura Bk" w:eastAsia="Times New Roman" w:hAnsi="Futura Bk" w:cs="Arial"/>
                <w:b/>
                <w:bCs/>
                <w:color w:val="FFFFFF"/>
                <w:sz w:val="12"/>
                <w:szCs w:val="12"/>
                <w:lang w:eastAsia="it-IT"/>
              </w:rPr>
              <w:t xml:space="preserve">    52.656,50 </w:t>
            </w:r>
          </w:p>
        </w:tc>
      </w:tr>
    </w:tbl>
    <w:p w:rsidR="00B707E0" w:rsidRDefault="00B707E0" w:rsidP="00756DF7">
      <w:pPr>
        <w:pStyle w:val="Paragrafoelenco"/>
        <w:ind w:left="0"/>
        <w:jc w:val="both"/>
        <w:rPr>
          <w:rFonts w:ascii="Times New Roman" w:hAnsi="Times New Roman"/>
          <w:color w:val="000000"/>
        </w:rPr>
      </w:pPr>
    </w:p>
    <w:p w:rsidR="00756DF7" w:rsidRPr="0032197E" w:rsidRDefault="00756DF7" w:rsidP="00756DF7">
      <w:pPr>
        <w:pStyle w:val="Paragrafoelenco"/>
        <w:ind w:left="0"/>
        <w:jc w:val="both"/>
        <w:rPr>
          <w:rFonts w:ascii="Times New Roman" w:hAnsi="Times New Roman"/>
          <w:color w:val="000000"/>
        </w:rPr>
      </w:pPr>
      <w:r>
        <w:rPr>
          <w:rFonts w:ascii="Times New Roman" w:hAnsi="Times New Roman"/>
          <w:color w:val="000000"/>
        </w:rPr>
        <w:tab/>
      </w:r>
      <w:r w:rsidRPr="0032197E">
        <w:rPr>
          <w:rFonts w:ascii="Times New Roman" w:hAnsi="Times New Roman"/>
          <w:color w:val="000000"/>
        </w:rPr>
        <w:t xml:space="preserve">La riduzione del flusso di cassa operativo, già segnalata </w:t>
      </w:r>
      <w:r>
        <w:rPr>
          <w:rFonts w:ascii="Times New Roman" w:hAnsi="Times New Roman"/>
          <w:color w:val="000000"/>
        </w:rPr>
        <w:t>l’anno precedente, vede nel 2012 e ancor di più nel 2013,</w:t>
      </w:r>
      <w:r w:rsidRPr="0032197E">
        <w:rPr>
          <w:rFonts w:ascii="Times New Roman" w:hAnsi="Times New Roman"/>
          <w:color w:val="000000"/>
        </w:rPr>
        <w:t xml:space="preserve"> ancora una contrazione. Essa diventa molto evidente se si vanno a sottrarre gli investimenti (arrivando quindi al flusso di cassa </w:t>
      </w:r>
      <w:r>
        <w:rPr>
          <w:rFonts w:ascii="Times New Roman" w:hAnsi="Times New Roman"/>
          <w:color w:val="000000"/>
        </w:rPr>
        <w:t>totale)</w:t>
      </w:r>
      <w:r w:rsidRPr="0032197E">
        <w:rPr>
          <w:rFonts w:ascii="Times New Roman" w:hAnsi="Times New Roman"/>
          <w:color w:val="000000"/>
        </w:rPr>
        <w:t xml:space="preserve">. Ciò dipende in massima parte dall'aumento dei costi </w:t>
      </w:r>
      <w:r>
        <w:rPr>
          <w:rFonts w:ascii="Times New Roman" w:hAnsi="Times New Roman"/>
          <w:color w:val="000000"/>
        </w:rPr>
        <w:t>di</w:t>
      </w:r>
      <w:r w:rsidRPr="0032197E">
        <w:rPr>
          <w:rFonts w:ascii="Times New Roman" w:hAnsi="Times New Roman"/>
          <w:color w:val="000000"/>
        </w:rPr>
        <w:t xml:space="preserve"> funzionamento e all'aumento contestuale dei debiti di parte corrente, nonché agli importanti investimenti previsti che in massima parte riguardano le immobilizzazioni finanziarie.</w:t>
      </w:r>
    </w:p>
    <w:p w:rsidR="00756DF7" w:rsidRDefault="00756DF7" w:rsidP="00756DF7">
      <w:pPr>
        <w:pStyle w:val="Paragrafoelenco"/>
        <w:ind w:left="0"/>
        <w:jc w:val="both"/>
        <w:rPr>
          <w:rFonts w:ascii="Times New Roman" w:hAnsi="Times New Roman"/>
          <w:bCs/>
          <w:iCs/>
          <w:color w:val="000000"/>
        </w:rPr>
      </w:pPr>
      <w:r w:rsidRPr="0032197E">
        <w:rPr>
          <w:rFonts w:ascii="Times New Roman" w:hAnsi="Times New Roman"/>
          <w:bCs/>
          <w:iCs/>
          <w:color w:val="000000"/>
        </w:rPr>
        <w:tab/>
        <w:t>L’ aumento continuo del saldo di cassa finale invece a prima vista potrebbe non destare significative preoccupazioni, ma da una attenta analisi a tutti gli indici, si evince che se la gestione della CCIAA dovesse res</w:t>
      </w:r>
      <w:r>
        <w:rPr>
          <w:rFonts w:ascii="Times New Roman" w:hAnsi="Times New Roman"/>
          <w:bCs/>
          <w:iCs/>
          <w:color w:val="000000"/>
        </w:rPr>
        <w:t>tare come quella emersa del 2010</w:t>
      </w:r>
      <w:r w:rsidRPr="0032197E">
        <w:rPr>
          <w:rFonts w:ascii="Times New Roman" w:hAnsi="Times New Roman"/>
          <w:bCs/>
          <w:iCs/>
          <w:color w:val="000000"/>
        </w:rPr>
        <w:t xml:space="preserve">/2011: margine operativo negativo, ed un flusso di cassa operativo considerevolmente in diminuzione rispetto a quello degli anni precedenti, nel medio termine la CCIAA andrebbe ad erodere la cassa accumulata negli anni. </w:t>
      </w:r>
    </w:p>
    <w:p w:rsidR="00B707E0" w:rsidRDefault="00B707E0" w:rsidP="00756DF7">
      <w:pPr>
        <w:pStyle w:val="Paragrafoelenco"/>
        <w:ind w:left="0"/>
        <w:jc w:val="both"/>
        <w:rPr>
          <w:rFonts w:ascii="Times New Roman" w:hAnsi="Times New Roman"/>
          <w:bCs/>
          <w:iCs/>
          <w:color w:val="000000"/>
        </w:rPr>
      </w:pPr>
    </w:p>
    <w:p w:rsidR="00B707E0" w:rsidRPr="0032197E" w:rsidRDefault="00B707E0" w:rsidP="00B707E0">
      <w:pPr>
        <w:pStyle w:val="Paragrafoelenco"/>
        <w:ind w:left="0"/>
        <w:jc w:val="center"/>
        <w:rPr>
          <w:rFonts w:ascii="Times New Roman" w:hAnsi="Times New Roman"/>
          <w:bCs/>
          <w:iCs/>
          <w:color w:val="000000"/>
        </w:rPr>
      </w:pPr>
      <w:r w:rsidRPr="00B707E0">
        <w:rPr>
          <w:rFonts w:ascii="Times New Roman" w:hAnsi="Times New Roman"/>
          <w:bCs/>
          <w:iCs/>
          <w:noProof/>
          <w:color w:val="000000"/>
          <w:lang w:eastAsia="it-IT"/>
        </w:rPr>
        <w:drawing>
          <wp:inline distT="0" distB="0" distL="0" distR="0">
            <wp:extent cx="5753100" cy="2486025"/>
            <wp:effectExtent l="19050" t="0" r="19050" b="0"/>
            <wp:docPr id="21"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6DF7" w:rsidRDefault="00756DF7" w:rsidP="00A17A39">
      <w:pPr>
        <w:pStyle w:val="Paragrafoelenco"/>
        <w:ind w:left="0"/>
        <w:jc w:val="both"/>
        <w:rPr>
          <w:rFonts w:ascii="Times New Roman" w:hAnsi="Times New Roman"/>
          <w:color w:val="000000"/>
        </w:rPr>
      </w:pPr>
    </w:p>
    <w:p w:rsidR="00B707E0" w:rsidRDefault="00B707E0" w:rsidP="00B707E0">
      <w:pPr>
        <w:pStyle w:val="Paragrafoelenco"/>
        <w:ind w:left="0"/>
        <w:jc w:val="center"/>
        <w:rPr>
          <w:rFonts w:ascii="Times New Roman" w:hAnsi="Times New Roman"/>
          <w:color w:val="000000"/>
        </w:rPr>
      </w:pPr>
      <w:r w:rsidRPr="00B707E0">
        <w:rPr>
          <w:rFonts w:ascii="Times New Roman" w:hAnsi="Times New Roman"/>
          <w:noProof/>
          <w:color w:val="000000"/>
          <w:lang w:eastAsia="it-IT"/>
        </w:rPr>
        <w:lastRenderedPageBreak/>
        <w:drawing>
          <wp:inline distT="0" distB="0" distL="0" distR="0">
            <wp:extent cx="4581525" cy="2419350"/>
            <wp:effectExtent l="19050" t="0" r="9525" b="0"/>
            <wp:docPr id="22"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7A39" w:rsidRPr="0032197E" w:rsidRDefault="00A17A39" w:rsidP="00A17A39">
      <w:pPr>
        <w:pStyle w:val="Paragrafoelenco"/>
        <w:ind w:left="0"/>
        <w:jc w:val="both"/>
        <w:rPr>
          <w:rFonts w:ascii="Times New Roman" w:hAnsi="Times New Roman"/>
          <w:color w:val="000000"/>
        </w:rPr>
      </w:pPr>
    </w:p>
    <w:p w:rsidR="00A17A39" w:rsidRPr="00A17A39" w:rsidRDefault="00A17A39" w:rsidP="00A17A39">
      <w:pPr>
        <w:jc w:val="center"/>
      </w:pPr>
    </w:p>
    <w:sectPr w:rsidR="00A17A39" w:rsidRPr="00A17A39" w:rsidSect="005241E6">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5B" w:rsidRDefault="00ED095B" w:rsidP="00EE5265">
      <w:pPr>
        <w:spacing w:after="0" w:line="240" w:lineRule="auto"/>
      </w:pPr>
      <w:r>
        <w:separator/>
      </w:r>
    </w:p>
  </w:endnote>
  <w:endnote w:type="continuationSeparator" w:id="0">
    <w:p w:rsidR="00ED095B" w:rsidRDefault="00ED095B" w:rsidP="00EE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Bk">
    <w:altName w:val="Segoe UI"/>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B" w:rsidRDefault="00ED095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B" w:rsidRDefault="00ED095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B" w:rsidRDefault="00ED09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5B" w:rsidRDefault="00ED095B" w:rsidP="00EE5265">
      <w:pPr>
        <w:spacing w:after="0" w:line="240" w:lineRule="auto"/>
      </w:pPr>
      <w:r>
        <w:separator/>
      </w:r>
    </w:p>
  </w:footnote>
  <w:footnote w:type="continuationSeparator" w:id="0">
    <w:p w:rsidR="00ED095B" w:rsidRDefault="00ED095B" w:rsidP="00EE5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B" w:rsidRDefault="00ED095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B" w:rsidRPr="00AC7995" w:rsidRDefault="00ED095B">
    <w:pPr>
      <w:pStyle w:val="Intestazione"/>
      <w:rPr>
        <w:rFonts w:ascii="Times New Roman" w:hAnsi="Times New Roman" w:cs="Times New Roman"/>
      </w:rPr>
    </w:pPr>
    <w:r w:rsidRPr="00AC7995">
      <w:rPr>
        <w:rFonts w:ascii="Times New Roman" w:hAnsi="Times New Roman" w:cs="Times New Roman"/>
      </w:rPr>
      <w:t>ALLEGATO 10</w:t>
    </w:r>
  </w:p>
  <w:p w:rsidR="00ED095B" w:rsidRDefault="00ED095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B" w:rsidRDefault="00ED095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17A39"/>
    <w:rsid w:val="0006237B"/>
    <w:rsid w:val="00071888"/>
    <w:rsid w:val="0008439B"/>
    <w:rsid w:val="000E4241"/>
    <w:rsid w:val="00176E12"/>
    <w:rsid w:val="001D014A"/>
    <w:rsid w:val="001D3D61"/>
    <w:rsid w:val="00216DFC"/>
    <w:rsid w:val="00230178"/>
    <w:rsid w:val="00244CE8"/>
    <w:rsid w:val="0029553B"/>
    <w:rsid w:val="002C22F0"/>
    <w:rsid w:val="002D2D6B"/>
    <w:rsid w:val="00393FBF"/>
    <w:rsid w:val="003B6895"/>
    <w:rsid w:val="00411512"/>
    <w:rsid w:val="0048372F"/>
    <w:rsid w:val="004B4660"/>
    <w:rsid w:val="004E27A4"/>
    <w:rsid w:val="004E6DA1"/>
    <w:rsid w:val="004F01CB"/>
    <w:rsid w:val="004F0A3F"/>
    <w:rsid w:val="004F3212"/>
    <w:rsid w:val="004F32B5"/>
    <w:rsid w:val="005241E6"/>
    <w:rsid w:val="00572C9C"/>
    <w:rsid w:val="005C293C"/>
    <w:rsid w:val="0060777A"/>
    <w:rsid w:val="0068423B"/>
    <w:rsid w:val="00756DF7"/>
    <w:rsid w:val="00795337"/>
    <w:rsid w:val="007A3E3C"/>
    <w:rsid w:val="008712E2"/>
    <w:rsid w:val="008F2240"/>
    <w:rsid w:val="00922716"/>
    <w:rsid w:val="00A006BD"/>
    <w:rsid w:val="00A17A39"/>
    <w:rsid w:val="00A25A76"/>
    <w:rsid w:val="00A677BE"/>
    <w:rsid w:val="00AC7995"/>
    <w:rsid w:val="00B13F6F"/>
    <w:rsid w:val="00B707E0"/>
    <w:rsid w:val="00BF2A14"/>
    <w:rsid w:val="00BF3A11"/>
    <w:rsid w:val="00C50D01"/>
    <w:rsid w:val="00D87BC9"/>
    <w:rsid w:val="00DB3012"/>
    <w:rsid w:val="00E6324B"/>
    <w:rsid w:val="00E67469"/>
    <w:rsid w:val="00E7028B"/>
    <w:rsid w:val="00EA6296"/>
    <w:rsid w:val="00EA6330"/>
    <w:rsid w:val="00ED095B"/>
    <w:rsid w:val="00EE5265"/>
    <w:rsid w:val="00F05EE7"/>
    <w:rsid w:val="00F305BF"/>
    <w:rsid w:val="00F42030"/>
    <w:rsid w:val="00F8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7A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17A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7A39"/>
    <w:rPr>
      <w:rFonts w:ascii="Tahoma" w:hAnsi="Tahoma" w:cs="Tahoma"/>
      <w:sz w:val="16"/>
      <w:szCs w:val="16"/>
    </w:rPr>
  </w:style>
  <w:style w:type="paragraph" w:styleId="Paragrafoelenco">
    <w:name w:val="List Paragraph"/>
    <w:basedOn w:val="Normale"/>
    <w:qFormat/>
    <w:rsid w:val="00A17A39"/>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EE52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265"/>
  </w:style>
  <w:style w:type="paragraph" w:styleId="Pidipagina">
    <w:name w:val="footer"/>
    <w:basedOn w:val="Normale"/>
    <w:link w:val="PidipaginaCarattere"/>
    <w:uiPriority w:val="99"/>
    <w:semiHidden/>
    <w:unhideWhenUsed/>
    <w:rsid w:val="00EE52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E5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734">
      <w:bodyDiv w:val="1"/>
      <w:marLeft w:val="0"/>
      <w:marRight w:val="0"/>
      <w:marTop w:val="0"/>
      <w:marBottom w:val="0"/>
      <w:divBdr>
        <w:top w:val="none" w:sz="0" w:space="0" w:color="auto"/>
        <w:left w:val="none" w:sz="0" w:space="0" w:color="auto"/>
        <w:bottom w:val="none" w:sz="0" w:space="0" w:color="auto"/>
        <w:right w:val="none" w:sz="0" w:space="0" w:color="auto"/>
      </w:divBdr>
    </w:div>
    <w:div w:id="225409809">
      <w:bodyDiv w:val="1"/>
      <w:marLeft w:val="0"/>
      <w:marRight w:val="0"/>
      <w:marTop w:val="0"/>
      <w:marBottom w:val="0"/>
      <w:divBdr>
        <w:top w:val="none" w:sz="0" w:space="0" w:color="auto"/>
        <w:left w:val="none" w:sz="0" w:space="0" w:color="auto"/>
        <w:bottom w:val="none" w:sz="0" w:space="0" w:color="auto"/>
        <w:right w:val="none" w:sz="0" w:space="0" w:color="auto"/>
      </w:divBdr>
    </w:div>
    <w:div w:id="235749653">
      <w:bodyDiv w:val="1"/>
      <w:marLeft w:val="0"/>
      <w:marRight w:val="0"/>
      <w:marTop w:val="0"/>
      <w:marBottom w:val="0"/>
      <w:divBdr>
        <w:top w:val="none" w:sz="0" w:space="0" w:color="auto"/>
        <w:left w:val="none" w:sz="0" w:space="0" w:color="auto"/>
        <w:bottom w:val="none" w:sz="0" w:space="0" w:color="auto"/>
        <w:right w:val="none" w:sz="0" w:space="0" w:color="auto"/>
      </w:divBdr>
    </w:div>
    <w:div w:id="282154440">
      <w:bodyDiv w:val="1"/>
      <w:marLeft w:val="0"/>
      <w:marRight w:val="0"/>
      <w:marTop w:val="0"/>
      <w:marBottom w:val="0"/>
      <w:divBdr>
        <w:top w:val="none" w:sz="0" w:space="0" w:color="auto"/>
        <w:left w:val="none" w:sz="0" w:space="0" w:color="auto"/>
        <w:bottom w:val="none" w:sz="0" w:space="0" w:color="auto"/>
        <w:right w:val="none" w:sz="0" w:space="0" w:color="auto"/>
      </w:divBdr>
    </w:div>
    <w:div w:id="311447157">
      <w:bodyDiv w:val="1"/>
      <w:marLeft w:val="0"/>
      <w:marRight w:val="0"/>
      <w:marTop w:val="0"/>
      <w:marBottom w:val="0"/>
      <w:divBdr>
        <w:top w:val="none" w:sz="0" w:space="0" w:color="auto"/>
        <w:left w:val="none" w:sz="0" w:space="0" w:color="auto"/>
        <w:bottom w:val="none" w:sz="0" w:space="0" w:color="auto"/>
        <w:right w:val="none" w:sz="0" w:space="0" w:color="auto"/>
      </w:divBdr>
    </w:div>
    <w:div w:id="381444553">
      <w:bodyDiv w:val="1"/>
      <w:marLeft w:val="0"/>
      <w:marRight w:val="0"/>
      <w:marTop w:val="0"/>
      <w:marBottom w:val="0"/>
      <w:divBdr>
        <w:top w:val="none" w:sz="0" w:space="0" w:color="auto"/>
        <w:left w:val="none" w:sz="0" w:space="0" w:color="auto"/>
        <w:bottom w:val="none" w:sz="0" w:space="0" w:color="auto"/>
        <w:right w:val="none" w:sz="0" w:space="0" w:color="auto"/>
      </w:divBdr>
    </w:div>
    <w:div w:id="432944718">
      <w:bodyDiv w:val="1"/>
      <w:marLeft w:val="0"/>
      <w:marRight w:val="0"/>
      <w:marTop w:val="0"/>
      <w:marBottom w:val="0"/>
      <w:divBdr>
        <w:top w:val="none" w:sz="0" w:space="0" w:color="auto"/>
        <w:left w:val="none" w:sz="0" w:space="0" w:color="auto"/>
        <w:bottom w:val="none" w:sz="0" w:space="0" w:color="auto"/>
        <w:right w:val="none" w:sz="0" w:space="0" w:color="auto"/>
      </w:divBdr>
    </w:div>
    <w:div w:id="774205451">
      <w:bodyDiv w:val="1"/>
      <w:marLeft w:val="0"/>
      <w:marRight w:val="0"/>
      <w:marTop w:val="0"/>
      <w:marBottom w:val="0"/>
      <w:divBdr>
        <w:top w:val="none" w:sz="0" w:space="0" w:color="auto"/>
        <w:left w:val="none" w:sz="0" w:space="0" w:color="auto"/>
        <w:bottom w:val="none" w:sz="0" w:space="0" w:color="auto"/>
        <w:right w:val="none" w:sz="0" w:space="0" w:color="auto"/>
      </w:divBdr>
    </w:div>
    <w:div w:id="851456986">
      <w:bodyDiv w:val="1"/>
      <w:marLeft w:val="0"/>
      <w:marRight w:val="0"/>
      <w:marTop w:val="0"/>
      <w:marBottom w:val="0"/>
      <w:divBdr>
        <w:top w:val="none" w:sz="0" w:space="0" w:color="auto"/>
        <w:left w:val="none" w:sz="0" w:space="0" w:color="auto"/>
        <w:bottom w:val="none" w:sz="0" w:space="0" w:color="auto"/>
        <w:right w:val="none" w:sz="0" w:space="0" w:color="auto"/>
      </w:divBdr>
    </w:div>
    <w:div w:id="943849627">
      <w:bodyDiv w:val="1"/>
      <w:marLeft w:val="0"/>
      <w:marRight w:val="0"/>
      <w:marTop w:val="0"/>
      <w:marBottom w:val="0"/>
      <w:divBdr>
        <w:top w:val="none" w:sz="0" w:space="0" w:color="auto"/>
        <w:left w:val="none" w:sz="0" w:space="0" w:color="auto"/>
        <w:bottom w:val="none" w:sz="0" w:space="0" w:color="auto"/>
        <w:right w:val="none" w:sz="0" w:space="0" w:color="auto"/>
      </w:divBdr>
    </w:div>
    <w:div w:id="1155418423">
      <w:bodyDiv w:val="1"/>
      <w:marLeft w:val="0"/>
      <w:marRight w:val="0"/>
      <w:marTop w:val="0"/>
      <w:marBottom w:val="0"/>
      <w:divBdr>
        <w:top w:val="none" w:sz="0" w:space="0" w:color="auto"/>
        <w:left w:val="none" w:sz="0" w:space="0" w:color="auto"/>
        <w:bottom w:val="none" w:sz="0" w:space="0" w:color="auto"/>
        <w:right w:val="none" w:sz="0" w:space="0" w:color="auto"/>
      </w:divBdr>
    </w:div>
    <w:div w:id="1276862771">
      <w:bodyDiv w:val="1"/>
      <w:marLeft w:val="0"/>
      <w:marRight w:val="0"/>
      <w:marTop w:val="0"/>
      <w:marBottom w:val="0"/>
      <w:divBdr>
        <w:top w:val="none" w:sz="0" w:space="0" w:color="auto"/>
        <w:left w:val="none" w:sz="0" w:space="0" w:color="auto"/>
        <w:bottom w:val="none" w:sz="0" w:space="0" w:color="auto"/>
        <w:right w:val="none" w:sz="0" w:space="0" w:color="auto"/>
      </w:divBdr>
    </w:div>
    <w:div w:id="1332220553">
      <w:bodyDiv w:val="1"/>
      <w:marLeft w:val="0"/>
      <w:marRight w:val="0"/>
      <w:marTop w:val="0"/>
      <w:marBottom w:val="0"/>
      <w:divBdr>
        <w:top w:val="none" w:sz="0" w:space="0" w:color="auto"/>
        <w:left w:val="none" w:sz="0" w:space="0" w:color="auto"/>
        <w:bottom w:val="none" w:sz="0" w:space="0" w:color="auto"/>
        <w:right w:val="none" w:sz="0" w:space="0" w:color="auto"/>
      </w:divBdr>
    </w:div>
    <w:div w:id="1442147788">
      <w:bodyDiv w:val="1"/>
      <w:marLeft w:val="0"/>
      <w:marRight w:val="0"/>
      <w:marTop w:val="0"/>
      <w:marBottom w:val="0"/>
      <w:divBdr>
        <w:top w:val="none" w:sz="0" w:space="0" w:color="auto"/>
        <w:left w:val="none" w:sz="0" w:space="0" w:color="auto"/>
        <w:bottom w:val="none" w:sz="0" w:space="0" w:color="auto"/>
        <w:right w:val="none" w:sz="0" w:space="0" w:color="auto"/>
      </w:divBdr>
    </w:div>
    <w:div w:id="1470829238">
      <w:bodyDiv w:val="1"/>
      <w:marLeft w:val="0"/>
      <w:marRight w:val="0"/>
      <w:marTop w:val="0"/>
      <w:marBottom w:val="0"/>
      <w:divBdr>
        <w:top w:val="none" w:sz="0" w:space="0" w:color="auto"/>
        <w:left w:val="none" w:sz="0" w:space="0" w:color="auto"/>
        <w:bottom w:val="none" w:sz="0" w:space="0" w:color="auto"/>
        <w:right w:val="none" w:sz="0" w:space="0" w:color="auto"/>
      </w:divBdr>
    </w:div>
    <w:div w:id="1513452423">
      <w:bodyDiv w:val="1"/>
      <w:marLeft w:val="0"/>
      <w:marRight w:val="0"/>
      <w:marTop w:val="0"/>
      <w:marBottom w:val="0"/>
      <w:divBdr>
        <w:top w:val="none" w:sz="0" w:space="0" w:color="auto"/>
        <w:left w:val="none" w:sz="0" w:space="0" w:color="auto"/>
        <w:bottom w:val="none" w:sz="0" w:space="0" w:color="auto"/>
        <w:right w:val="none" w:sz="0" w:space="0" w:color="auto"/>
      </w:divBdr>
    </w:div>
    <w:div w:id="1551376972">
      <w:bodyDiv w:val="1"/>
      <w:marLeft w:val="0"/>
      <w:marRight w:val="0"/>
      <w:marTop w:val="0"/>
      <w:marBottom w:val="0"/>
      <w:divBdr>
        <w:top w:val="none" w:sz="0" w:space="0" w:color="auto"/>
        <w:left w:val="none" w:sz="0" w:space="0" w:color="auto"/>
        <w:bottom w:val="none" w:sz="0" w:space="0" w:color="auto"/>
        <w:right w:val="none" w:sz="0" w:space="0" w:color="auto"/>
      </w:divBdr>
    </w:div>
    <w:div w:id="1678380495">
      <w:bodyDiv w:val="1"/>
      <w:marLeft w:val="0"/>
      <w:marRight w:val="0"/>
      <w:marTop w:val="0"/>
      <w:marBottom w:val="0"/>
      <w:divBdr>
        <w:top w:val="none" w:sz="0" w:space="0" w:color="auto"/>
        <w:left w:val="none" w:sz="0" w:space="0" w:color="auto"/>
        <w:bottom w:val="none" w:sz="0" w:space="0" w:color="auto"/>
        <w:right w:val="none" w:sz="0" w:space="0" w:color="auto"/>
      </w:divBdr>
    </w:div>
    <w:div w:id="1709187048">
      <w:bodyDiv w:val="1"/>
      <w:marLeft w:val="0"/>
      <w:marRight w:val="0"/>
      <w:marTop w:val="0"/>
      <w:marBottom w:val="0"/>
      <w:divBdr>
        <w:top w:val="none" w:sz="0" w:space="0" w:color="auto"/>
        <w:left w:val="none" w:sz="0" w:space="0" w:color="auto"/>
        <w:bottom w:val="none" w:sz="0" w:space="0" w:color="auto"/>
        <w:right w:val="none" w:sz="0" w:space="0" w:color="auto"/>
      </w:divBdr>
    </w:div>
    <w:div w:id="1785224477">
      <w:bodyDiv w:val="1"/>
      <w:marLeft w:val="0"/>
      <w:marRight w:val="0"/>
      <w:marTop w:val="0"/>
      <w:marBottom w:val="0"/>
      <w:divBdr>
        <w:top w:val="none" w:sz="0" w:space="0" w:color="auto"/>
        <w:left w:val="none" w:sz="0" w:space="0" w:color="auto"/>
        <w:bottom w:val="none" w:sz="0" w:space="0" w:color="auto"/>
        <w:right w:val="none" w:sz="0" w:space="0" w:color="auto"/>
      </w:divBdr>
    </w:div>
    <w:div w:id="1818918750">
      <w:bodyDiv w:val="1"/>
      <w:marLeft w:val="0"/>
      <w:marRight w:val="0"/>
      <w:marTop w:val="0"/>
      <w:marBottom w:val="0"/>
      <w:divBdr>
        <w:top w:val="none" w:sz="0" w:space="0" w:color="auto"/>
        <w:left w:val="none" w:sz="0" w:space="0" w:color="auto"/>
        <w:bottom w:val="none" w:sz="0" w:space="0" w:color="auto"/>
        <w:right w:val="none" w:sz="0" w:space="0" w:color="auto"/>
      </w:divBdr>
    </w:div>
    <w:div w:id="1867255623">
      <w:bodyDiv w:val="1"/>
      <w:marLeft w:val="0"/>
      <w:marRight w:val="0"/>
      <w:marTop w:val="0"/>
      <w:marBottom w:val="0"/>
      <w:divBdr>
        <w:top w:val="none" w:sz="0" w:space="0" w:color="auto"/>
        <w:left w:val="none" w:sz="0" w:space="0" w:color="auto"/>
        <w:bottom w:val="none" w:sz="0" w:space="0" w:color="auto"/>
        <w:right w:val="none" w:sz="0" w:space="0" w:color="auto"/>
      </w:divBdr>
    </w:div>
    <w:div w:id="1893037011">
      <w:bodyDiv w:val="1"/>
      <w:marLeft w:val="0"/>
      <w:marRight w:val="0"/>
      <w:marTop w:val="0"/>
      <w:marBottom w:val="0"/>
      <w:divBdr>
        <w:top w:val="none" w:sz="0" w:space="0" w:color="auto"/>
        <w:left w:val="none" w:sz="0" w:space="0" w:color="auto"/>
        <w:bottom w:val="none" w:sz="0" w:space="0" w:color="auto"/>
        <w:right w:val="none" w:sz="0" w:space="0" w:color="auto"/>
      </w:divBdr>
    </w:div>
    <w:div w:id="1930772043">
      <w:bodyDiv w:val="1"/>
      <w:marLeft w:val="0"/>
      <w:marRight w:val="0"/>
      <w:marTop w:val="0"/>
      <w:marBottom w:val="0"/>
      <w:divBdr>
        <w:top w:val="none" w:sz="0" w:space="0" w:color="auto"/>
        <w:left w:val="none" w:sz="0" w:space="0" w:color="auto"/>
        <w:bottom w:val="none" w:sz="0" w:space="0" w:color="auto"/>
        <w:right w:val="none" w:sz="0" w:space="0" w:color="auto"/>
      </w:divBdr>
    </w:div>
    <w:div w:id="1967734632">
      <w:bodyDiv w:val="1"/>
      <w:marLeft w:val="0"/>
      <w:marRight w:val="0"/>
      <w:marTop w:val="0"/>
      <w:marBottom w:val="0"/>
      <w:divBdr>
        <w:top w:val="none" w:sz="0" w:space="0" w:color="auto"/>
        <w:left w:val="none" w:sz="0" w:space="0" w:color="auto"/>
        <w:bottom w:val="none" w:sz="0" w:space="0" w:color="auto"/>
        <w:right w:val="none" w:sz="0" w:space="0" w:color="auto"/>
      </w:divBdr>
    </w:div>
    <w:div w:id="1977024542">
      <w:bodyDiv w:val="1"/>
      <w:marLeft w:val="0"/>
      <w:marRight w:val="0"/>
      <w:marTop w:val="0"/>
      <w:marBottom w:val="0"/>
      <w:divBdr>
        <w:top w:val="none" w:sz="0" w:space="0" w:color="auto"/>
        <w:left w:val="none" w:sz="0" w:space="0" w:color="auto"/>
        <w:bottom w:val="none" w:sz="0" w:space="0" w:color="auto"/>
        <w:right w:val="none" w:sz="0" w:space="0" w:color="auto"/>
      </w:divBdr>
    </w:div>
    <w:div w:id="21012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3kna2\area\Ragioneria\Bilancio\BILANCIO%20PREVENTIVO%202014\DELIBERE%20E%20ALLEGATI%20DEFINITIVI\Indici\MARGINE%20DI%20STRUTTURA_%20preventivo_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w3kna2\area\Ragioneria\Bilancio\BILANCIO%20PREVENTIVO%202014\DELIBERE%20E%20ALLEGATI%20DEFINITIVI\Indici\CASH%20FLOW_Preventivo_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729658792843"/>
          <c:y val="0.24584499854185057"/>
          <c:w val="0.68638801399825111"/>
          <c:h val="0.60378062117235343"/>
        </c:manualLayout>
      </c:layout>
      <c:barChart>
        <c:barDir val="col"/>
        <c:grouping val="stacked"/>
        <c:varyColors val="0"/>
        <c:ser>
          <c:idx val="1"/>
          <c:order val="1"/>
          <c:invertIfNegative val="0"/>
          <c:cat>
            <c:numRef>
              <c:f>'margine 2013'!$C$3:$H$3</c:f>
              <c:numCache>
                <c:formatCode>General</c:formatCode>
                <c:ptCount val="6"/>
                <c:pt idx="0">
                  <c:v>2008</c:v>
                </c:pt>
                <c:pt idx="1">
                  <c:v>2009</c:v>
                </c:pt>
                <c:pt idx="2">
                  <c:v>2010</c:v>
                </c:pt>
                <c:pt idx="3">
                  <c:v>2011</c:v>
                </c:pt>
                <c:pt idx="4">
                  <c:v>2012</c:v>
                </c:pt>
                <c:pt idx="5">
                  <c:v>2013</c:v>
                </c:pt>
              </c:numCache>
            </c:numRef>
          </c:cat>
          <c:val>
            <c:numRef>
              <c:f>'margine 2013'!$C$6:$H$6</c:f>
              <c:numCache>
                <c:formatCode>_(* #,##0_);_(* \(#,##0\);_(* "-"_);_(@_)</c:formatCode>
                <c:ptCount val="6"/>
                <c:pt idx="0">
                  <c:v>15293</c:v>
                </c:pt>
                <c:pt idx="1">
                  <c:v>180799</c:v>
                </c:pt>
                <c:pt idx="2">
                  <c:v>98957.119999999995</c:v>
                </c:pt>
                <c:pt idx="3">
                  <c:v>15538</c:v>
                </c:pt>
                <c:pt idx="4">
                  <c:v>11493.07</c:v>
                </c:pt>
                <c:pt idx="5">
                  <c:v>31568.07</c:v>
                </c:pt>
              </c:numCache>
            </c:numRef>
          </c:val>
        </c:ser>
        <c:ser>
          <c:idx val="0"/>
          <c:order val="0"/>
          <c:invertIfNegative val="0"/>
          <c:dPt>
            <c:idx val="0"/>
            <c:invertIfNegative val="0"/>
            <c:bubble3D val="0"/>
            <c:spPr>
              <a:solidFill>
                <a:schemeClr val="accent5">
                  <a:lumMod val="60000"/>
                  <a:lumOff val="40000"/>
                </a:schemeClr>
              </a:solidFill>
            </c:spPr>
          </c:dPt>
          <c:dPt>
            <c:idx val="1"/>
            <c:invertIfNegative val="0"/>
            <c:bubble3D val="0"/>
            <c:spPr>
              <a:solidFill>
                <a:schemeClr val="accent2">
                  <a:lumMod val="40000"/>
                  <a:lumOff val="60000"/>
                </a:schemeClr>
              </a:solidFill>
            </c:spPr>
          </c:dPt>
          <c:dPt>
            <c:idx val="2"/>
            <c:invertIfNegative val="0"/>
            <c:bubble3D val="0"/>
            <c:spPr>
              <a:solidFill>
                <a:schemeClr val="bg2">
                  <a:lumMod val="50000"/>
                </a:schemeClr>
              </a:solidFill>
            </c:spPr>
          </c:dPt>
          <c:dPt>
            <c:idx val="3"/>
            <c:invertIfNegative val="0"/>
            <c:bubble3D val="0"/>
            <c:spPr>
              <a:solidFill>
                <a:schemeClr val="tx2">
                  <a:lumMod val="60000"/>
                  <a:lumOff val="40000"/>
                </a:schemeClr>
              </a:solidFill>
            </c:spPr>
          </c:dPt>
          <c:dPt>
            <c:idx val="4"/>
            <c:invertIfNegative val="0"/>
            <c:bubble3D val="0"/>
            <c:spPr>
              <a:solidFill>
                <a:schemeClr val="accent4">
                  <a:lumMod val="60000"/>
                  <a:lumOff val="40000"/>
                </a:schemeClr>
              </a:solidFill>
            </c:spPr>
          </c:dPt>
          <c:cat>
            <c:numRef>
              <c:f>'margine 2014'!$C$3:$I$3</c:f>
              <c:numCache>
                <c:formatCode>General</c:formatCode>
                <c:ptCount val="7"/>
                <c:pt idx="0">
                  <c:v>2008</c:v>
                </c:pt>
                <c:pt idx="1">
                  <c:v>2009</c:v>
                </c:pt>
                <c:pt idx="2">
                  <c:v>2010</c:v>
                </c:pt>
                <c:pt idx="3">
                  <c:v>2011</c:v>
                </c:pt>
                <c:pt idx="4">
                  <c:v>2012</c:v>
                </c:pt>
                <c:pt idx="5">
                  <c:v>2013</c:v>
                </c:pt>
                <c:pt idx="6">
                  <c:v>2014</c:v>
                </c:pt>
              </c:numCache>
            </c:numRef>
          </c:cat>
          <c:val>
            <c:numRef>
              <c:f>'margine 2014'!$C$6:$I$6</c:f>
              <c:numCache>
                <c:formatCode>_(* #,##0_);_(* \(#,##0\);_(* "-"_);_(@_)</c:formatCode>
                <c:ptCount val="7"/>
                <c:pt idx="0">
                  <c:v>15293</c:v>
                </c:pt>
                <c:pt idx="1">
                  <c:v>180799</c:v>
                </c:pt>
                <c:pt idx="2">
                  <c:v>98957.119999999995</c:v>
                </c:pt>
                <c:pt idx="3">
                  <c:v>15538</c:v>
                </c:pt>
                <c:pt idx="4">
                  <c:v>11493.07</c:v>
                </c:pt>
                <c:pt idx="5">
                  <c:v>6582</c:v>
                </c:pt>
                <c:pt idx="6">
                  <c:v>33597</c:v>
                </c:pt>
              </c:numCache>
            </c:numRef>
          </c:val>
        </c:ser>
        <c:dLbls>
          <c:showLegendKey val="0"/>
          <c:showVal val="0"/>
          <c:showCatName val="0"/>
          <c:showSerName val="0"/>
          <c:showPercent val="0"/>
          <c:showBubbleSize val="0"/>
        </c:dLbls>
        <c:gapWidth val="150"/>
        <c:overlap val="100"/>
        <c:axId val="124827136"/>
        <c:axId val="124828672"/>
      </c:barChart>
      <c:catAx>
        <c:axId val="12482713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4828672"/>
        <c:crosses val="autoZero"/>
        <c:auto val="1"/>
        <c:lblAlgn val="ctr"/>
        <c:lblOffset val="100"/>
        <c:noMultiLvlLbl val="0"/>
      </c:catAx>
      <c:valAx>
        <c:axId val="124828672"/>
        <c:scaling>
          <c:orientation val="minMax"/>
        </c:scaling>
        <c:delete val="0"/>
        <c:axPos val="l"/>
        <c:majorGridlines/>
        <c:numFmt formatCode="_(* #,##0_);_(* \(#,##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4827136"/>
        <c:crosses val="autoZero"/>
        <c:crossBetween val="between"/>
        <c:majorUnit val="50000"/>
      </c:valAx>
    </c:plotArea>
    <c:legend>
      <c:legendPos val="r"/>
      <c:layout/>
      <c:overlay val="0"/>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5291629478305361"/>
          <c:y val="0.22186732882456084"/>
          <c:w val="0.58498634773927138"/>
          <c:h val="0.67035471188508533"/>
        </c:manualLayout>
      </c:layout>
      <c:bar3DChart>
        <c:barDir val="col"/>
        <c:grouping val="clustered"/>
        <c:varyColors val="0"/>
        <c:ser>
          <c:idx val="1"/>
          <c:order val="1"/>
          <c:invertIfNegative val="0"/>
          <c:cat>
            <c:multiLvlStrRef>
              <c:f>'cash flow'!$C$2:$I$2</c:f>
            </c:multiLvlStrRef>
          </c:cat>
          <c:val>
            <c:numRef>
              <c:f>'cash flow'!$C$18:$I$18</c:f>
            </c:numRef>
          </c:val>
        </c:ser>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5">
                  <a:lumMod val="60000"/>
                  <a:lumOff val="40000"/>
                </a:schemeClr>
              </a:solidFill>
            </c:spPr>
          </c:dPt>
          <c:cat>
            <c:numRef>
              <c:f>'[CASH FLOW_Preventivo_2014.xlsx]cash flow'!$C$2:$J$2</c:f>
              <c:numCache>
                <c:formatCode>General</c:formatCode>
                <c:ptCount val="6"/>
                <c:pt idx="0">
                  <c:v>2009</c:v>
                </c:pt>
                <c:pt idx="1">
                  <c:v>2010</c:v>
                </c:pt>
                <c:pt idx="2">
                  <c:v>2011</c:v>
                </c:pt>
                <c:pt idx="3">
                  <c:v>2012</c:v>
                </c:pt>
                <c:pt idx="4">
                  <c:v>2013</c:v>
                </c:pt>
                <c:pt idx="5">
                  <c:v>2014</c:v>
                </c:pt>
              </c:numCache>
            </c:numRef>
          </c:cat>
          <c:val>
            <c:numRef>
              <c:f>'[CASH FLOW_Preventivo_2014.xlsx]cash flow'!$C$18:$J$18</c:f>
              <c:numCache>
                <c:formatCode>_(* #,##0.00_);_(* \(#,##0.00\);_(* "-"??_);_(@_)</c:formatCode>
                <c:ptCount val="6"/>
                <c:pt idx="0">
                  <c:v>3126</c:v>
                </c:pt>
                <c:pt idx="1">
                  <c:v>-3278.5544399999999</c:v>
                </c:pt>
                <c:pt idx="2">
                  <c:v>683.48653999999806</c:v>
                </c:pt>
                <c:pt idx="3">
                  <c:v>-718.10626999999647</c:v>
                </c:pt>
                <c:pt idx="4">
                  <c:v>-12199.99455000001</c:v>
                </c:pt>
                <c:pt idx="5">
                  <c:v>-29801.239359999967</c:v>
                </c:pt>
              </c:numCache>
            </c:numRef>
          </c:val>
        </c:ser>
        <c:dLbls>
          <c:showLegendKey val="0"/>
          <c:showVal val="0"/>
          <c:showCatName val="0"/>
          <c:showSerName val="0"/>
          <c:showPercent val="0"/>
          <c:showBubbleSize val="0"/>
        </c:dLbls>
        <c:gapWidth val="150"/>
        <c:shape val="box"/>
        <c:axId val="137348224"/>
        <c:axId val="137349760"/>
        <c:axId val="0"/>
      </c:bar3DChart>
      <c:catAx>
        <c:axId val="13734822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7349760"/>
        <c:crosses val="autoZero"/>
        <c:auto val="1"/>
        <c:lblAlgn val="ctr"/>
        <c:lblOffset val="100"/>
        <c:noMultiLvlLbl val="0"/>
      </c:catAx>
      <c:valAx>
        <c:axId val="137349760"/>
        <c:scaling>
          <c:orientation val="minMax"/>
        </c:scaling>
        <c:delete val="0"/>
        <c:axPos val="l"/>
        <c:majorGridlines>
          <c:spPr>
            <a:ln>
              <a:solidFill>
                <a:sysClr val="windowText" lastClr="000000">
                  <a:tint val="75000"/>
                  <a:shade val="95000"/>
                  <a:satMod val="105000"/>
                </a:sysClr>
              </a:solidFill>
            </a:ln>
          </c:spPr>
        </c:majorGridlines>
        <c:numFmt formatCode="_(* #,##0.00_);_(* \(#,##0.0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7348224"/>
        <c:crosses val="autoZero"/>
        <c:crossBetween val="between"/>
      </c:valAx>
      <c:spPr>
        <a:noFill/>
        <a:ln w="25400">
          <a:noFill/>
        </a:ln>
      </c:spPr>
    </c:plotArea>
    <c:legend>
      <c:legendPos val="r"/>
      <c:overlay val="0"/>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7995464206942682"/>
          <c:y val="0.17142936862615621"/>
          <c:w val="0.69476159279967875"/>
          <c:h val="0.72598599448927925"/>
        </c:manualLayout>
      </c:layout>
      <c:bar3DChart>
        <c:barDir val="col"/>
        <c:grouping val="clustered"/>
        <c:varyColors val="0"/>
        <c:ser>
          <c:idx val="1"/>
          <c:order val="1"/>
          <c:invertIfNegative val="0"/>
          <c:cat>
            <c:multiLvlStrRef>
              <c:f>'cash flow'!$C$2:$I$2</c:f>
            </c:multiLvlStrRef>
          </c:cat>
          <c:val>
            <c:numRef>
              <c:f>'cash flow'!$C$38:$I$38</c:f>
            </c:numRef>
          </c:val>
        </c:ser>
        <c:ser>
          <c:idx val="2"/>
          <c:order val="2"/>
          <c:invertIfNegative val="0"/>
          <c:cat>
            <c:multiLvlStrRef>
              <c:f>'[CASH FLOW_Preventivo_2014.xlsx]cash flow'!$C$2:$J$2</c:f>
            </c:multiLvlStrRef>
          </c:cat>
          <c:val>
            <c:numRef>
              <c:f>'[CASH FLOW_Preventivo_2014.xlsx]cash flow'!$C$38:$J$38</c:f>
            </c:numRef>
          </c:val>
        </c:ser>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5">
                  <a:lumMod val="60000"/>
                  <a:lumOff val="40000"/>
                </a:schemeClr>
              </a:solidFill>
            </c:spPr>
          </c:dPt>
          <c:cat>
            <c:numRef>
              <c:f>'[CASH FLOW_Preventivo_2014.xlsx]cash flow'!$C$2:$J$2</c:f>
              <c:numCache>
                <c:formatCode>General</c:formatCode>
                <c:ptCount val="6"/>
                <c:pt idx="0">
                  <c:v>2009</c:v>
                </c:pt>
                <c:pt idx="1">
                  <c:v>2010</c:v>
                </c:pt>
                <c:pt idx="2">
                  <c:v>2011</c:v>
                </c:pt>
                <c:pt idx="3">
                  <c:v>2012</c:v>
                </c:pt>
                <c:pt idx="4">
                  <c:v>2013</c:v>
                </c:pt>
                <c:pt idx="5">
                  <c:v>2014</c:v>
                </c:pt>
              </c:numCache>
            </c:numRef>
          </c:cat>
          <c:val>
            <c:numRef>
              <c:f>'[CASH FLOW_Preventivo_2014.xlsx]cash flow'!$C$38:$J$38</c:f>
              <c:numCache>
                <c:formatCode>_(* #,##0.00_);_(* \(#,##0.00\);_(* "-"??_);_(@_)</c:formatCode>
                <c:ptCount val="6"/>
                <c:pt idx="0">
                  <c:v>18558</c:v>
                </c:pt>
                <c:pt idx="1">
                  <c:v>21180.818780000001</c:v>
                </c:pt>
                <c:pt idx="2">
                  <c:v>20821.09</c:v>
                </c:pt>
                <c:pt idx="3">
                  <c:v>18984.042649999996</c:v>
                </c:pt>
                <c:pt idx="4">
                  <c:v>22285.788743569683</c:v>
                </c:pt>
                <c:pt idx="5">
                  <c:v>20237.099999999969</c:v>
                </c:pt>
              </c:numCache>
            </c:numRef>
          </c:val>
        </c:ser>
        <c:dLbls>
          <c:showLegendKey val="0"/>
          <c:showVal val="0"/>
          <c:showCatName val="0"/>
          <c:showSerName val="0"/>
          <c:showPercent val="0"/>
          <c:showBubbleSize val="0"/>
        </c:dLbls>
        <c:gapWidth val="150"/>
        <c:shape val="box"/>
        <c:axId val="135944448"/>
        <c:axId val="135946240"/>
        <c:axId val="0"/>
      </c:bar3DChart>
      <c:catAx>
        <c:axId val="135944448"/>
        <c:scaling>
          <c:orientation val="minMax"/>
        </c:scaling>
        <c:delete val="0"/>
        <c:axPos val="b"/>
        <c:numFmt formatCode="General" sourceLinked="1"/>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it-IT"/>
          </a:p>
        </c:txPr>
        <c:crossAx val="135946240"/>
        <c:crosses val="autoZero"/>
        <c:auto val="1"/>
        <c:lblAlgn val="ctr"/>
        <c:lblOffset val="0"/>
        <c:noMultiLvlLbl val="0"/>
      </c:catAx>
      <c:valAx>
        <c:axId val="135946240"/>
        <c:scaling>
          <c:orientation val="minMax"/>
        </c:scaling>
        <c:delete val="0"/>
        <c:axPos val="l"/>
        <c:majorGridlines>
          <c:spPr>
            <a:ln>
              <a:solidFill>
                <a:sysClr val="windowText" lastClr="000000">
                  <a:tint val="75000"/>
                  <a:shade val="95000"/>
                  <a:satMod val="105000"/>
                </a:sysClr>
              </a:solidFill>
            </a:ln>
          </c:spPr>
        </c:majorGridlines>
        <c:numFmt formatCode="_(* #,##0.00_);_(* \(#,##0.00\);_(* &quot;-&quot;??_);_(@_)" sourceLinked="1"/>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it-IT"/>
          </a:p>
        </c:txPr>
        <c:crossAx val="135944448"/>
        <c:crosses val="autoZero"/>
        <c:crossBetween val="between"/>
      </c:valAx>
      <c:spPr>
        <a:noFill/>
        <a:ln w="25400">
          <a:noFill/>
        </a:ln>
      </c:spPr>
    </c:plotArea>
    <c:plotVisOnly val="1"/>
    <c:dispBlanksAs val="gap"/>
    <c:showDLblsOverMax val="0"/>
  </c:chart>
  <c:spPr>
    <a:noFill/>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0"/>
    </c:view3D>
    <c:floor>
      <c:thickness val="0"/>
    </c:floor>
    <c:sideWall>
      <c:thickness val="0"/>
    </c:sideWall>
    <c:backWall>
      <c:thickness val="0"/>
    </c:backWall>
    <c:plotArea>
      <c:layout>
        <c:manualLayout>
          <c:layoutTarget val="inner"/>
          <c:xMode val="edge"/>
          <c:yMode val="edge"/>
          <c:x val="0.25956630732879088"/>
          <c:y val="0.22186715605906504"/>
          <c:w val="0.58498634773927116"/>
          <c:h val="0.67035471188508555"/>
        </c:manualLayout>
      </c:layout>
      <c:bar3DChart>
        <c:barDir val="col"/>
        <c:grouping val="clustered"/>
        <c:varyColors val="0"/>
        <c:ser>
          <c:idx val="1"/>
          <c:order val="1"/>
          <c:invertIfNegative val="0"/>
          <c:cat>
            <c:multiLvlStrRef>
              <c:f>'cash flow'!$C$2:$I$2</c:f>
            </c:multiLvlStrRef>
          </c:cat>
          <c:val>
            <c:numRef>
              <c:f>'cash flow'!$C$29:$I$29</c:f>
            </c:numRef>
          </c:val>
        </c:ser>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5">
                  <a:lumMod val="60000"/>
                  <a:lumOff val="40000"/>
                </a:schemeClr>
              </a:solidFill>
            </c:spPr>
          </c:dPt>
          <c:cat>
            <c:numRef>
              <c:f>'[CASH FLOW_Preventivo_2014.xlsx]cash flow'!$C$2:$J$2</c:f>
              <c:numCache>
                <c:formatCode>General</c:formatCode>
                <c:ptCount val="6"/>
                <c:pt idx="0">
                  <c:v>2009</c:v>
                </c:pt>
                <c:pt idx="1">
                  <c:v>2010</c:v>
                </c:pt>
                <c:pt idx="2">
                  <c:v>2011</c:v>
                </c:pt>
                <c:pt idx="3">
                  <c:v>2012</c:v>
                </c:pt>
                <c:pt idx="4">
                  <c:v>2013</c:v>
                </c:pt>
                <c:pt idx="5">
                  <c:v>2014</c:v>
                </c:pt>
              </c:numCache>
            </c:numRef>
          </c:cat>
          <c:val>
            <c:numRef>
              <c:f>'[CASH FLOW_Preventivo_2014.xlsx]cash flow'!$C$29:$J$29</c:f>
              <c:numCache>
                <c:formatCode>_(* #,##0.00_);_(* \(#,##0.00\);_(* "-"??_);_(@_)</c:formatCode>
                <c:ptCount val="6"/>
                <c:pt idx="0">
                  <c:v>4901</c:v>
                </c:pt>
                <c:pt idx="1">
                  <c:v>9.7636000000015883</c:v>
                </c:pt>
                <c:pt idx="2">
                  <c:v>4146.9568899999995</c:v>
                </c:pt>
                <c:pt idx="3">
                  <c:v>6952.5837299999994</c:v>
                </c:pt>
                <c:pt idx="4">
                  <c:v>-12741.482929999986</c:v>
                </c:pt>
                <c:pt idx="5">
                  <c:v>-27796.039359999959</c:v>
                </c:pt>
              </c:numCache>
            </c:numRef>
          </c:val>
        </c:ser>
        <c:dLbls>
          <c:showLegendKey val="0"/>
          <c:showVal val="0"/>
          <c:showCatName val="0"/>
          <c:showSerName val="0"/>
          <c:showPercent val="0"/>
          <c:showBubbleSize val="0"/>
        </c:dLbls>
        <c:gapWidth val="150"/>
        <c:shape val="box"/>
        <c:axId val="135964928"/>
        <c:axId val="135966720"/>
        <c:axId val="0"/>
      </c:bar3DChart>
      <c:catAx>
        <c:axId val="1359649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5966720"/>
        <c:crosses val="autoZero"/>
        <c:auto val="1"/>
        <c:lblAlgn val="ctr"/>
        <c:lblOffset val="100"/>
        <c:noMultiLvlLbl val="0"/>
      </c:catAx>
      <c:valAx>
        <c:axId val="135966720"/>
        <c:scaling>
          <c:orientation val="minMax"/>
        </c:scaling>
        <c:delete val="0"/>
        <c:axPos val="l"/>
        <c:majorGridlines>
          <c:spPr>
            <a:ln>
              <a:solidFill>
                <a:sysClr val="windowText" lastClr="000000">
                  <a:tint val="75000"/>
                  <a:shade val="95000"/>
                  <a:satMod val="105000"/>
                </a:sysClr>
              </a:solidFill>
            </a:ln>
          </c:spPr>
        </c:majorGridlines>
        <c:numFmt formatCode="_(* #,##0.00_);_(* \(#,##0.0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5964928"/>
        <c:crosses val="autoZero"/>
        <c:crossBetween val="between"/>
      </c:valAx>
      <c:spPr>
        <a:noFill/>
        <a:ln w="25400">
          <a:noFill/>
        </a:ln>
      </c:spPr>
    </c:plotArea>
    <c:legend>
      <c:legendPos val="r"/>
      <c:overlay val="0"/>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25291629478305389"/>
          <c:y val="0.22186732882456084"/>
          <c:w val="0.58498634773927061"/>
          <c:h val="0.67035471188508589"/>
        </c:manualLayout>
      </c:layout>
      <c:bar3D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5">
                  <a:lumMod val="60000"/>
                  <a:lumOff val="40000"/>
                </a:schemeClr>
              </a:solidFill>
            </c:spPr>
          </c:dPt>
          <c:cat>
            <c:numRef>
              <c:f>'cash flow'!$C$2:$J$2</c:f>
              <c:numCache>
                <c:formatCode>General</c:formatCode>
                <c:ptCount val="6"/>
                <c:pt idx="0">
                  <c:v>2009</c:v>
                </c:pt>
                <c:pt idx="1">
                  <c:v>2010</c:v>
                </c:pt>
                <c:pt idx="2">
                  <c:v>2011</c:v>
                </c:pt>
                <c:pt idx="3">
                  <c:v>2012</c:v>
                </c:pt>
                <c:pt idx="4">
                  <c:v>2013</c:v>
                </c:pt>
                <c:pt idx="5">
                  <c:v>2014</c:v>
                </c:pt>
              </c:numCache>
            </c:numRef>
          </c:cat>
          <c:val>
            <c:numRef>
              <c:f>'cash flow'!$C$47:$J$47</c:f>
              <c:numCache>
                <c:formatCode>_(* #,##0.00_);_(* \(#,##0.00\);_(* "-"??_);_(@_)</c:formatCode>
                <c:ptCount val="6"/>
                <c:pt idx="0">
                  <c:v>17221</c:v>
                </c:pt>
                <c:pt idx="1">
                  <c:v>10297.566490000003</c:v>
                </c:pt>
                <c:pt idx="2">
                  <c:v>7152.0289999999986</c:v>
                </c:pt>
                <c:pt idx="3">
                  <c:v>1908.476360000001</c:v>
                </c:pt>
                <c:pt idx="4">
                  <c:v>6406.6550735894634</c:v>
                </c:pt>
                <c:pt idx="5">
                  <c:v>-34858.229163589473</c:v>
                </c:pt>
              </c:numCache>
            </c:numRef>
          </c:val>
        </c:ser>
        <c:dLbls>
          <c:showLegendKey val="0"/>
          <c:showVal val="0"/>
          <c:showCatName val="0"/>
          <c:showSerName val="0"/>
          <c:showPercent val="0"/>
          <c:showBubbleSize val="0"/>
        </c:dLbls>
        <c:gapWidth val="150"/>
        <c:shape val="box"/>
        <c:axId val="136062080"/>
        <c:axId val="136063616"/>
        <c:axId val="0"/>
      </c:bar3DChart>
      <c:catAx>
        <c:axId val="13606208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6063616"/>
        <c:crosses val="autoZero"/>
        <c:auto val="1"/>
        <c:lblAlgn val="ctr"/>
        <c:lblOffset val="100"/>
        <c:noMultiLvlLbl val="0"/>
      </c:catAx>
      <c:valAx>
        <c:axId val="136063616"/>
        <c:scaling>
          <c:orientation val="minMax"/>
        </c:scaling>
        <c:delete val="0"/>
        <c:axPos val="l"/>
        <c:majorGridlines>
          <c:spPr>
            <a:ln>
              <a:solidFill>
                <a:sysClr val="windowText" lastClr="000000">
                  <a:tint val="75000"/>
                  <a:shade val="95000"/>
                  <a:satMod val="105000"/>
                </a:sysClr>
              </a:solidFill>
            </a:ln>
          </c:spPr>
        </c:majorGridlines>
        <c:numFmt formatCode="_(* #,##0.00_);_(* \(#,##0.0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6062080"/>
        <c:crosses val="autoZero"/>
        <c:crossBetween val="between"/>
      </c:valAx>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06589170119451"/>
          <c:y val="0.22186732882456084"/>
          <c:w val="0.48191070879232611"/>
          <c:h val="0.57794526022986459"/>
        </c:manualLayout>
      </c:layout>
      <c:barChart>
        <c:barDir val="col"/>
        <c:grouping val="clustered"/>
        <c:varyColors val="0"/>
        <c:ser>
          <c:idx val="0"/>
          <c:order val="0"/>
          <c:tx>
            <c:v>CASSA FINALE</c:v>
          </c:tx>
          <c:invertIfNegative val="0"/>
          <c:dPt>
            <c:idx val="0"/>
            <c:invertIfNegative val="0"/>
            <c:bubble3D val="0"/>
            <c:spPr>
              <a:solidFill>
                <a:schemeClr val="accent5">
                  <a:lumMod val="75000"/>
                </a:schemeClr>
              </a:solidFill>
            </c:spPr>
          </c:dPt>
          <c:dPt>
            <c:idx val="1"/>
            <c:invertIfNegative val="0"/>
            <c:bubble3D val="0"/>
            <c:spPr>
              <a:solidFill>
                <a:schemeClr val="accent5">
                  <a:lumMod val="75000"/>
                </a:schemeClr>
              </a:solidFill>
            </c:spPr>
          </c:dPt>
          <c:cat>
            <c:numRef>
              <c:f>'cash flow'!$C$2:$J$2</c:f>
              <c:numCache>
                <c:formatCode>General</c:formatCode>
                <c:ptCount val="6"/>
                <c:pt idx="0">
                  <c:v>2009</c:v>
                </c:pt>
                <c:pt idx="1">
                  <c:v>2010</c:v>
                </c:pt>
                <c:pt idx="2">
                  <c:v>2011</c:v>
                </c:pt>
                <c:pt idx="3">
                  <c:v>2012</c:v>
                </c:pt>
                <c:pt idx="4">
                  <c:v>2013</c:v>
                </c:pt>
                <c:pt idx="5">
                  <c:v>2014</c:v>
                </c:pt>
              </c:numCache>
            </c:numRef>
          </c:cat>
          <c:val>
            <c:numRef>
              <c:f>'cash flow'!$C$52:$J$52</c:f>
              <c:numCache>
                <c:formatCode>_(* #,##0.00_);_(* \(#,##0.00\);_(* "-"??_);_(@_)</c:formatCode>
                <c:ptCount val="6"/>
                <c:pt idx="0">
                  <c:v>61208</c:v>
                </c:pt>
                <c:pt idx="1">
                  <c:v>71484.926489999998</c:v>
                </c:pt>
                <c:pt idx="2">
                  <c:v>79062.519</c:v>
                </c:pt>
                <c:pt idx="3">
                  <c:v>81108.069109999997</c:v>
                </c:pt>
                <c:pt idx="4">
                  <c:v>87514.724183589453</c:v>
                </c:pt>
                <c:pt idx="5">
                  <c:v>52656.49501999998</c:v>
                </c:pt>
              </c:numCache>
            </c:numRef>
          </c:val>
        </c:ser>
        <c:ser>
          <c:idx val="1"/>
          <c:order val="1"/>
          <c:tx>
            <c:v>CASSA INIZIALE</c:v>
          </c:tx>
          <c:invertIfNegative val="0"/>
          <c:cat>
            <c:numRef>
              <c:f>'cash flow'!$C$2:$J$2</c:f>
              <c:numCache>
                <c:formatCode>General</c:formatCode>
                <c:ptCount val="6"/>
                <c:pt idx="0">
                  <c:v>2009</c:v>
                </c:pt>
                <c:pt idx="1">
                  <c:v>2010</c:v>
                </c:pt>
                <c:pt idx="2">
                  <c:v>2011</c:v>
                </c:pt>
                <c:pt idx="3">
                  <c:v>2012</c:v>
                </c:pt>
                <c:pt idx="4">
                  <c:v>2013</c:v>
                </c:pt>
                <c:pt idx="5">
                  <c:v>2014</c:v>
                </c:pt>
              </c:numCache>
            </c:numRef>
          </c:cat>
          <c:val>
            <c:numRef>
              <c:f>'cash flow'!$C$48:$J$48</c:f>
              <c:numCache>
                <c:formatCode>_(* #,##0.00_);_(* \(#,##0.00\);_(* "-"??_);_(@_)</c:formatCode>
                <c:ptCount val="6"/>
                <c:pt idx="0">
                  <c:v>43895</c:v>
                </c:pt>
                <c:pt idx="1">
                  <c:v>61208</c:v>
                </c:pt>
                <c:pt idx="2">
                  <c:v>71484.490000000005</c:v>
                </c:pt>
                <c:pt idx="3">
                  <c:v>79062.192750000002</c:v>
                </c:pt>
                <c:pt idx="4">
                  <c:v>81108.069109999997</c:v>
                </c:pt>
                <c:pt idx="5">
                  <c:v>87514.724183589453</c:v>
                </c:pt>
              </c:numCache>
            </c:numRef>
          </c:val>
        </c:ser>
        <c:dLbls>
          <c:showLegendKey val="0"/>
          <c:showVal val="0"/>
          <c:showCatName val="0"/>
          <c:showSerName val="0"/>
          <c:showPercent val="0"/>
          <c:showBubbleSize val="0"/>
        </c:dLbls>
        <c:gapWidth val="150"/>
        <c:axId val="136081792"/>
        <c:axId val="136083328"/>
      </c:barChart>
      <c:catAx>
        <c:axId val="13608179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6083328"/>
        <c:crosses val="autoZero"/>
        <c:auto val="1"/>
        <c:lblAlgn val="ctr"/>
        <c:lblOffset val="100"/>
        <c:noMultiLvlLbl val="0"/>
      </c:catAx>
      <c:valAx>
        <c:axId val="136083328"/>
        <c:scaling>
          <c:orientation val="minMax"/>
        </c:scaling>
        <c:delete val="0"/>
        <c:axPos val="l"/>
        <c:majorGridlines>
          <c:spPr>
            <a:ln>
              <a:solidFill>
                <a:sysClr val="windowText" lastClr="000000">
                  <a:tint val="75000"/>
                  <a:shade val="95000"/>
                  <a:satMod val="105000"/>
                </a:sysClr>
              </a:solidFill>
            </a:ln>
          </c:spPr>
        </c:majorGridlines>
        <c:numFmt formatCode="_(* #,##0.00_);_(* \(#,##0.0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6081792"/>
        <c:crosses val="autoZero"/>
        <c:crossBetween val="between"/>
      </c:valAx>
    </c:plotArea>
    <c:legend>
      <c:legendPos val="r"/>
      <c:overlay val="0"/>
    </c:legend>
    <c:plotVisOnly val="1"/>
    <c:dispBlanksAs val="gap"/>
    <c:showDLblsOverMax val="0"/>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729658792802"/>
          <c:y val="0.24584499854185043"/>
          <c:w val="0.68638801399825011"/>
          <c:h val="0.60378062117235343"/>
        </c:manualLayout>
      </c:layout>
      <c:barChart>
        <c:barDir val="col"/>
        <c:grouping val="stacked"/>
        <c:varyColors val="0"/>
        <c:ser>
          <c:idx val="1"/>
          <c:order val="1"/>
          <c:invertIfNegative val="0"/>
          <c:cat>
            <c:multiLvlStrRef>
              <c:f>'margine 2013'!$C$3:$H$3</c:f>
            </c:multiLvlStrRef>
          </c:cat>
          <c:val>
            <c:numRef>
              <c:f>'margine 2013'!$C$33:$H$33</c:f>
            </c:numRef>
          </c:val>
        </c:ser>
        <c:ser>
          <c:idx val="0"/>
          <c:order val="0"/>
          <c:invertIfNegative val="0"/>
          <c:cat>
            <c:numRef>
              <c:f>'[MARGINE DI STRUTTURA_ preventivo_2014.xlsx]margine 2014'!$C$3:$I$3</c:f>
              <c:numCache>
                <c:formatCode>General</c:formatCode>
                <c:ptCount val="7"/>
                <c:pt idx="0">
                  <c:v>2008</c:v>
                </c:pt>
                <c:pt idx="1">
                  <c:v>2009</c:v>
                </c:pt>
                <c:pt idx="2">
                  <c:v>2010</c:v>
                </c:pt>
                <c:pt idx="3">
                  <c:v>2011</c:v>
                </c:pt>
                <c:pt idx="4">
                  <c:v>2012</c:v>
                </c:pt>
                <c:pt idx="5">
                  <c:v>2013</c:v>
                </c:pt>
                <c:pt idx="6">
                  <c:v>2014</c:v>
                </c:pt>
              </c:numCache>
            </c:numRef>
          </c:cat>
          <c:val>
            <c:numRef>
              <c:f>'[MARGINE DI STRUTTURA_ preventivo_2014.xlsx]margine 2014'!$C$33:$I$33</c:f>
              <c:numCache>
                <c:formatCode>_(* #,##0_);_(* \(#,##0\);_(* "-"_);_(@_)</c:formatCode>
                <c:ptCount val="7"/>
                <c:pt idx="0">
                  <c:v>28932769.880000003</c:v>
                </c:pt>
                <c:pt idx="1">
                  <c:v>30392239.699999999</c:v>
                </c:pt>
                <c:pt idx="2">
                  <c:v>30171379.429999996</c:v>
                </c:pt>
                <c:pt idx="3">
                  <c:v>28997492.25999999</c:v>
                </c:pt>
                <c:pt idx="4">
                  <c:v>27534326.090000004</c:v>
                </c:pt>
                <c:pt idx="5">
                  <c:v>26332814.790000007</c:v>
                </c:pt>
                <c:pt idx="6">
                  <c:v>26755241.011800006</c:v>
                </c:pt>
              </c:numCache>
            </c:numRef>
          </c:val>
        </c:ser>
        <c:dLbls>
          <c:showLegendKey val="0"/>
          <c:showVal val="0"/>
          <c:showCatName val="0"/>
          <c:showSerName val="0"/>
          <c:showPercent val="0"/>
          <c:showBubbleSize val="0"/>
        </c:dLbls>
        <c:gapWidth val="150"/>
        <c:overlap val="100"/>
        <c:axId val="125391616"/>
        <c:axId val="125393152"/>
      </c:barChart>
      <c:catAx>
        <c:axId val="12539161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5393152"/>
        <c:crosses val="autoZero"/>
        <c:auto val="1"/>
        <c:lblAlgn val="ctr"/>
        <c:lblOffset val="100"/>
        <c:noMultiLvlLbl val="0"/>
      </c:catAx>
      <c:valAx>
        <c:axId val="125393152"/>
        <c:scaling>
          <c:orientation val="minMax"/>
        </c:scaling>
        <c:delete val="0"/>
        <c:axPos val="l"/>
        <c:majorGridlines/>
        <c:numFmt formatCode="_(* #,##0_);_(* \(#,##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5391616"/>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729658792802"/>
          <c:y val="0.24584499854185043"/>
          <c:w val="0.68638801399825011"/>
          <c:h val="0.60378062117235343"/>
        </c:manualLayout>
      </c:layout>
      <c:barChart>
        <c:barDir val="col"/>
        <c:grouping val="stacked"/>
        <c:varyColors val="0"/>
        <c:ser>
          <c:idx val="0"/>
          <c:order val="0"/>
          <c:invertIfNegative val="0"/>
          <c:cat>
            <c:numRef>
              <c:f>'margine 2014'!$C$3:$I$3</c:f>
              <c:numCache>
                <c:formatCode>General</c:formatCode>
                <c:ptCount val="7"/>
                <c:pt idx="0">
                  <c:v>2008</c:v>
                </c:pt>
                <c:pt idx="1">
                  <c:v>2009</c:v>
                </c:pt>
                <c:pt idx="2">
                  <c:v>2010</c:v>
                </c:pt>
                <c:pt idx="3">
                  <c:v>2011</c:v>
                </c:pt>
                <c:pt idx="4">
                  <c:v>2012</c:v>
                </c:pt>
                <c:pt idx="5">
                  <c:v>2013</c:v>
                </c:pt>
                <c:pt idx="6">
                  <c:v>2014</c:v>
                </c:pt>
              </c:numCache>
            </c:numRef>
          </c:cat>
          <c:val>
            <c:numRef>
              <c:f>'margine 2014'!$C$44:$I$44</c:f>
              <c:numCache>
                <c:formatCode>_(* #,##0_);_(* \(#,##0\);_(* "-"_);_(@_)</c:formatCode>
                <c:ptCount val="7"/>
                <c:pt idx="0">
                  <c:v>29400085.82</c:v>
                </c:pt>
                <c:pt idx="1">
                  <c:v>19397479</c:v>
                </c:pt>
                <c:pt idx="2">
                  <c:v>19208315.649999999</c:v>
                </c:pt>
                <c:pt idx="3">
                  <c:v>20905622.91</c:v>
                </c:pt>
                <c:pt idx="4">
                  <c:v>22523463.350000001</c:v>
                </c:pt>
                <c:pt idx="5">
                  <c:v>28959963.350000001</c:v>
                </c:pt>
                <c:pt idx="6">
                  <c:v>27856463.350000001</c:v>
                </c:pt>
              </c:numCache>
            </c:numRef>
          </c:val>
        </c:ser>
        <c:dLbls>
          <c:showLegendKey val="0"/>
          <c:showVal val="0"/>
          <c:showCatName val="0"/>
          <c:showSerName val="0"/>
          <c:showPercent val="0"/>
          <c:showBubbleSize val="0"/>
        </c:dLbls>
        <c:gapWidth val="150"/>
        <c:overlap val="100"/>
        <c:axId val="125405440"/>
        <c:axId val="125411328"/>
      </c:barChart>
      <c:catAx>
        <c:axId val="12540544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5411328"/>
        <c:crosses val="autoZero"/>
        <c:auto val="1"/>
        <c:lblAlgn val="ctr"/>
        <c:lblOffset val="100"/>
        <c:noMultiLvlLbl val="0"/>
      </c:catAx>
      <c:valAx>
        <c:axId val="125411328"/>
        <c:scaling>
          <c:orientation val="minMax"/>
        </c:scaling>
        <c:delete val="0"/>
        <c:axPos val="l"/>
        <c:majorGridlines/>
        <c:numFmt formatCode="_(* #,##0_);_(* \(#,##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540544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729658792802"/>
          <c:y val="0.24584499854185043"/>
          <c:w val="0.68638801399825011"/>
          <c:h val="0.60378062117235343"/>
        </c:manualLayout>
      </c:layout>
      <c:barChart>
        <c:barDir val="col"/>
        <c:grouping val="stacked"/>
        <c:varyColors val="0"/>
        <c:ser>
          <c:idx val="1"/>
          <c:order val="0"/>
          <c:invertIfNegative val="0"/>
          <c:cat>
            <c:numRef>
              <c:f>'margine 2014'!$C$3:$I$3</c:f>
              <c:numCache>
                <c:formatCode>General</c:formatCode>
                <c:ptCount val="7"/>
                <c:pt idx="0">
                  <c:v>2008</c:v>
                </c:pt>
                <c:pt idx="1">
                  <c:v>2009</c:v>
                </c:pt>
                <c:pt idx="2">
                  <c:v>2010</c:v>
                </c:pt>
                <c:pt idx="3">
                  <c:v>2011</c:v>
                </c:pt>
                <c:pt idx="4">
                  <c:v>2012</c:v>
                </c:pt>
                <c:pt idx="5">
                  <c:v>2013</c:v>
                </c:pt>
                <c:pt idx="6">
                  <c:v>2014</c:v>
                </c:pt>
              </c:numCache>
            </c:numRef>
          </c:cat>
          <c:val>
            <c:numRef>
              <c:f>'margine 2014'!$C$45:$I$45</c:f>
              <c:numCache>
                <c:formatCode>_(* #,##0_);_(* \(#,##0\);_(* "-"_);_(@_)</c:formatCode>
                <c:ptCount val="7"/>
                <c:pt idx="0">
                  <c:v>58348148.700000003</c:v>
                </c:pt>
                <c:pt idx="1">
                  <c:v>49970517.700000003</c:v>
                </c:pt>
                <c:pt idx="2">
                  <c:v>49478652.199999996</c:v>
                </c:pt>
                <c:pt idx="3">
                  <c:v>49918653.169999987</c:v>
                </c:pt>
                <c:pt idx="4">
                  <c:v>50069282.510000005</c:v>
                </c:pt>
                <c:pt idx="5">
                  <c:v>55299360.140000008</c:v>
                </c:pt>
                <c:pt idx="6">
                  <c:v>54645301.361800008</c:v>
                </c:pt>
              </c:numCache>
            </c:numRef>
          </c:val>
        </c:ser>
        <c:dLbls>
          <c:showLegendKey val="0"/>
          <c:showVal val="0"/>
          <c:showCatName val="0"/>
          <c:showSerName val="0"/>
          <c:showPercent val="0"/>
          <c:showBubbleSize val="0"/>
        </c:dLbls>
        <c:gapWidth val="150"/>
        <c:overlap val="100"/>
        <c:axId val="125418880"/>
        <c:axId val="125428864"/>
      </c:barChart>
      <c:catAx>
        <c:axId val="12541888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5428864"/>
        <c:crosses val="autoZero"/>
        <c:auto val="1"/>
        <c:lblAlgn val="ctr"/>
        <c:lblOffset val="100"/>
        <c:noMultiLvlLbl val="0"/>
      </c:catAx>
      <c:valAx>
        <c:axId val="125428864"/>
        <c:scaling>
          <c:orientation val="minMax"/>
        </c:scaling>
        <c:delete val="0"/>
        <c:axPos val="l"/>
        <c:majorGridlines/>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25418880"/>
        <c:crosses val="autoZero"/>
        <c:crossBetween val="between"/>
        <c:majorUnit val="5000000"/>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729658792824"/>
          <c:y val="0.24584499854185057"/>
          <c:w val="0.68638801399825011"/>
          <c:h val="0.60378062117235343"/>
        </c:manualLayout>
      </c:layout>
      <c:barChart>
        <c:barDir val="col"/>
        <c:grouping val="stacked"/>
        <c:varyColors val="0"/>
        <c:ser>
          <c:idx val="0"/>
          <c:order val="1"/>
          <c:invertIfNegative val="0"/>
          <c:cat>
            <c:multiLvlStrRef>
              <c:f>'margine 2013'!$C$73:$H$73</c:f>
            </c:multiLvlStrRef>
          </c:cat>
          <c:val>
            <c:numRef>
              <c:f>'margine 2013'!$C$52:$H$52</c:f>
            </c:numRef>
          </c:val>
        </c:ser>
        <c:ser>
          <c:idx val="1"/>
          <c:order val="0"/>
          <c:invertIfNegative val="0"/>
          <c:cat>
            <c:numRef>
              <c:f>'[MARGINE DI STRUTTURA_ preventivo_2014.xlsx]margine 2014'!$C$73:$I$73</c:f>
              <c:numCache>
                <c:formatCode>General</c:formatCode>
                <c:ptCount val="7"/>
                <c:pt idx="0">
                  <c:v>2008</c:v>
                </c:pt>
                <c:pt idx="1">
                  <c:v>2009</c:v>
                </c:pt>
                <c:pt idx="2">
                  <c:v>2010</c:v>
                </c:pt>
                <c:pt idx="3">
                  <c:v>2011</c:v>
                </c:pt>
                <c:pt idx="4">
                  <c:v>2012</c:v>
                </c:pt>
                <c:pt idx="5">
                  <c:v>2013</c:v>
                </c:pt>
                <c:pt idx="6">
                  <c:v>2014</c:v>
                </c:pt>
              </c:numCache>
            </c:numRef>
          </c:cat>
          <c:val>
            <c:numRef>
              <c:f>'[MARGINE DI STRUTTURA_ preventivo_2014.xlsx]margine 2014'!$C$52:$I$52</c:f>
              <c:numCache>
                <c:formatCode>_(* #,##0_);_(* \(#,##0\);_(* "-"_);_(@_)</c:formatCode>
                <c:ptCount val="7"/>
                <c:pt idx="0">
                  <c:v>11399237.91</c:v>
                </c:pt>
                <c:pt idx="1">
                  <c:v>10055513.91</c:v>
                </c:pt>
                <c:pt idx="2">
                  <c:v>8975258.6600000001</c:v>
                </c:pt>
                <c:pt idx="3">
                  <c:v>6501163.5200000005</c:v>
                </c:pt>
                <c:pt idx="4">
                  <c:v>7580803.4000000004</c:v>
                </c:pt>
                <c:pt idx="5">
                  <c:v>7580803</c:v>
                </c:pt>
                <c:pt idx="6">
                  <c:v>7580803</c:v>
                </c:pt>
              </c:numCache>
            </c:numRef>
          </c:val>
        </c:ser>
        <c:dLbls>
          <c:showLegendKey val="0"/>
          <c:showVal val="0"/>
          <c:showCatName val="0"/>
          <c:showSerName val="0"/>
          <c:showPercent val="0"/>
          <c:showBubbleSize val="0"/>
        </c:dLbls>
        <c:gapWidth val="150"/>
        <c:overlap val="100"/>
        <c:axId val="131687936"/>
        <c:axId val="131689472"/>
      </c:barChart>
      <c:catAx>
        <c:axId val="13168793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1689472"/>
        <c:crosses val="autoZero"/>
        <c:auto val="1"/>
        <c:lblAlgn val="ctr"/>
        <c:lblOffset val="100"/>
        <c:noMultiLvlLbl val="0"/>
      </c:catAx>
      <c:valAx>
        <c:axId val="131689472"/>
        <c:scaling>
          <c:orientation val="minMax"/>
        </c:scaling>
        <c:delete val="0"/>
        <c:axPos val="l"/>
        <c:majorGridlines/>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1687936"/>
        <c:crosses val="autoZero"/>
        <c:crossBetween val="between"/>
        <c:majorUnit val="5000000"/>
      </c:valAx>
    </c:plotArea>
    <c:legend>
      <c:legendPos val="r"/>
      <c:layout/>
      <c:overlay val="0"/>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729658792824"/>
          <c:y val="0.24584499854185057"/>
          <c:w val="0.68638801399825011"/>
          <c:h val="0.60378062117235343"/>
        </c:manualLayout>
      </c:layout>
      <c:barChart>
        <c:barDir val="col"/>
        <c:grouping val="stacked"/>
        <c:varyColors val="0"/>
        <c:ser>
          <c:idx val="0"/>
          <c:order val="0"/>
          <c:invertIfNegative val="0"/>
          <c:cat>
            <c:numRef>
              <c:f>'margine 2014'!$C$74:$I$74</c:f>
              <c:numCache>
                <c:formatCode>General</c:formatCode>
                <c:ptCount val="7"/>
                <c:pt idx="0">
                  <c:v>2008</c:v>
                </c:pt>
                <c:pt idx="1">
                  <c:v>2009</c:v>
                </c:pt>
                <c:pt idx="2">
                  <c:v>2010</c:v>
                </c:pt>
                <c:pt idx="3">
                  <c:v>2011</c:v>
                </c:pt>
                <c:pt idx="4">
                  <c:v>2012</c:v>
                </c:pt>
                <c:pt idx="5">
                  <c:v>2013</c:v>
                </c:pt>
                <c:pt idx="6">
                  <c:v>2014</c:v>
                </c:pt>
              </c:numCache>
            </c:numRef>
          </c:cat>
          <c:val>
            <c:numRef>
              <c:f>'margine 2014'!$C$62:$I$62</c:f>
              <c:numCache>
                <c:formatCode>_(* #,##0_);_(* \(#,##0\);_(* "-"_);_(@_)</c:formatCode>
                <c:ptCount val="7"/>
                <c:pt idx="0">
                  <c:v>93738151.499999985</c:v>
                </c:pt>
                <c:pt idx="1">
                  <c:v>98517072.980000004</c:v>
                </c:pt>
                <c:pt idx="2">
                  <c:v>98510273</c:v>
                </c:pt>
                <c:pt idx="3">
                  <c:v>102943212.81999999</c:v>
                </c:pt>
                <c:pt idx="4">
                  <c:v>109897670.32999998</c:v>
                </c:pt>
                <c:pt idx="5">
                  <c:v>97155779.019999981</c:v>
                </c:pt>
                <c:pt idx="6">
                  <c:v>80659734.019999981</c:v>
                </c:pt>
              </c:numCache>
            </c:numRef>
          </c:val>
        </c:ser>
        <c:dLbls>
          <c:showLegendKey val="0"/>
          <c:showVal val="0"/>
          <c:showCatName val="0"/>
          <c:showSerName val="0"/>
          <c:showPercent val="0"/>
          <c:showBubbleSize val="0"/>
        </c:dLbls>
        <c:gapWidth val="150"/>
        <c:overlap val="100"/>
        <c:axId val="131710976"/>
        <c:axId val="131712512"/>
      </c:barChart>
      <c:catAx>
        <c:axId val="1317109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Garamond"/>
                <a:ea typeface="Garamond"/>
                <a:cs typeface="Garamond"/>
              </a:defRPr>
            </a:pPr>
            <a:endParaRPr lang="it-IT"/>
          </a:p>
        </c:txPr>
        <c:crossAx val="131712512"/>
        <c:crosses val="autoZero"/>
        <c:auto val="1"/>
        <c:lblAlgn val="ctr"/>
        <c:lblOffset val="100"/>
        <c:noMultiLvlLbl val="0"/>
      </c:catAx>
      <c:valAx>
        <c:axId val="131712512"/>
        <c:scaling>
          <c:orientation val="minMax"/>
        </c:scaling>
        <c:delete val="0"/>
        <c:axPos val="l"/>
        <c:majorGridlines/>
        <c:numFmt formatCode="#,##0.00" sourceLinked="0"/>
        <c:majorTickMark val="out"/>
        <c:minorTickMark val="none"/>
        <c:tickLblPos val="nextTo"/>
        <c:txPr>
          <a:bodyPr rot="0" vert="horz"/>
          <a:lstStyle/>
          <a:p>
            <a:pPr>
              <a:defRPr sz="1000" b="0" i="0" u="none" strike="noStrike" baseline="0">
                <a:solidFill>
                  <a:srgbClr val="000000"/>
                </a:solidFill>
                <a:latin typeface="Garamond"/>
                <a:ea typeface="Garamond"/>
                <a:cs typeface="Garamond"/>
              </a:defRPr>
            </a:pPr>
            <a:endParaRPr lang="it-IT"/>
          </a:p>
        </c:txPr>
        <c:crossAx val="131710976"/>
        <c:crosses val="autoZero"/>
        <c:crossBetween val="between"/>
        <c:majorUnit val="5000000"/>
      </c:valAx>
    </c:plotArea>
    <c:legend>
      <c:legendPos val="r"/>
      <c:overlay val="0"/>
      <c:txPr>
        <a:bodyPr/>
        <a:lstStyle/>
        <a:p>
          <a:pPr rtl="0">
            <a:defRPr sz="920" b="0" i="0" u="none" strike="noStrike" baseline="0">
              <a:solidFill>
                <a:srgbClr val="000000"/>
              </a:solidFill>
              <a:latin typeface="Garamond"/>
              <a:ea typeface="Garamond"/>
              <a:cs typeface="Garamond"/>
            </a:defRPr>
          </a:pPr>
          <a:endParaRPr lang="it-IT"/>
        </a:p>
      </c:txPr>
    </c:legend>
    <c:plotVisOnly val="1"/>
    <c:dispBlanksAs val="gap"/>
    <c:showDLblsOverMax val="0"/>
  </c:chart>
  <c:txPr>
    <a:bodyPr/>
    <a:lstStyle/>
    <a:p>
      <a:pPr>
        <a:defRPr sz="1000" b="0" i="0" u="none" strike="noStrike" baseline="0">
          <a:solidFill>
            <a:srgbClr val="000000"/>
          </a:solidFill>
          <a:latin typeface="Garamond"/>
          <a:ea typeface="Garamond"/>
          <a:cs typeface="Garamond"/>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'margine 2014'!$A$75</c:f>
              <c:strCache>
                <c:ptCount val="1"/>
                <c:pt idx="0">
                  <c:v>Patrimonio Netto</c:v>
                </c:pt>
              </c:strCache>
            </c:strRef>
          </c:tx>
          <c:invertIfNegative val="0"/>
          <c:cat>
            <c:numRef>
              <c:f>'margine 2014'!$C$74:$I$74</c:f>
              <c:numCache>
                <c:formatCode>General</c:formatCode>
                <c:ptCount val="7"/>
                <c:pt idx="0">
                  <c:v>2008</c:v>
                </c:pt>
                <c:pt idx="1">
                  <c:v>2009</c:v>
                </c:pt>
                <c:pt idx="2">
                  <c:v>2010</c:v>
                </c:pt>
                <c:pt idx="3">
                  <c:v>2011</c:v>
                </c:pt>
                <c:pt idx="4">
                  <c:v>2012</c:v>
                </c:pt>
                <c:pt idx="5">
                  <c:v>2013</c:v>
                </c:pt>
                <c:pt idx="6">
                  <c:v>2014</c:v>
                </c:pt>
              </c:numCache>
            </c:numRef>
          </c:cat>
          <c:val>
            <c:numRef>
              <c:f>'margine 2014'!$C$75:$I$75</c:f>
              <c:numCache>
                <c:formatCode>#,##0</c:formatCode>
                <c:ptCount val="7"/>
                <c:pt idx="0">
                  <c:v>93738151.499999985</c:v>
                </c:pt>
                <c:pt idx="1">
                  <c:v>98517072.980000004</c:v>
                </c:pt>
                <c:pt idx="2">
                  <c:v>98510273</c:v>
                </c:pt>
                <c:pt idx="3">
                  <c:v>102943212.81999999</c:v>
                </c:pt>
                <c:pt idx="4">
                  <c:v>109897670.32999998</c:v>
                </c:pt>
                <c:pt idx="5">
                  <c:v>97155779.019999981</c:v>
                </c:pt>
                <c:pt idx="6">
                  <c:v>80659734.019999981</c:v>
                </c:pt>
              </c:numCache>
            </c:numRef>
          </c:val>
        </c:ser>
        <c:ser>
          <c:idx val="1"/>
          <c:order val="1"/>
          <c:tx>
            <c:strRef>
              <c:f>'margine 2014'!$A$76</c:f>
              <c:strCache>
                <c:ptCount val="1"/>
                <c:pt idx="0">
                  <c:v>Passivo consolidato</c:v>
                </c:pt>
              </c:strCache>
            </c:strRef>
          </c:tx>
          <c:invertIfNegative val="0"/>
          <c:cat>
            <c:numRef>
              <c:f>'margine 2014'!$C$74:$I$74</c:f>
              <c:numCache>
                <c:formatCode>General</c:formatCode>
                <c:ptCount val="7"/>
                <c:pt idx="0">
                  <c:v>2008</c:v>
                </c:pt>
                <c:pt idx="1">
                  <c:v>2009</c:v>
                </c:pt>
                <c:pt idx="2">
                  <c:v>2010</c:v>
                </c:pt>
                <c:pt idx="3">
                  <c:v>2011</c:v>
                </c:pt>
                <c:pt idx="4">
                  <c:v>2012</c:v>
                </c:pt>
                <c:pt idx="5">
                  <c:v>2013</c:v>
                </c:pt>
                <c:pt idx="6">
                  <c:v>2014</c:v>
                </c:pt>
              </c:numCache>
            </c:numRef>
          </c:cat>
          <c:val>
            <c:numRef>
              <c:f>'margine 2014'!$C$76:$I$76</c:f>
              <c:numCache>
                <c:formatCode>#,##0</c:formatCode>
                <c:ptCount val="7"/>
                <c:pt idx="0">
                  <c:v>11399237.91</c:v>
                </c:pt>
                <c:pt idx="1">
                  <c:v>10055513.91</c:v>
                </c:pt>
                <c:pt idx="2">
                  <c:v>8975258.6600000001</c:v>
                </c:pt>
                <c:pt idx="3">
                  <c:v>6501163.5199999996</c:v>
                </c:pt>
                <c:pt idx="4">
                  <c:v>7580803.4000000004</c:v>
                </c:pt>
                <c:pt idx="5">
                  <c:v>7580803</c:v>
                </c:pt>
                <c:pt idx="6">
                  <c:v>7580803</c:v>
                </c:pt>
              </c:numCache>
            </c:numRef>
          </c:val>
        </c:ser>
        <c:ser>
          <c:idx val="2"/>
          <c:order val="2"/>
          <c:tx>
            <c:strRef>
              <c:f>'margine 2014'!$A$76</c:f>
              <c:strCache>
                <c:ptCount val="1"/>
                <c:pt idx="0">
                  <c:v>Passivo consolidato</c:v>
                </c:pt>
              </c:strCache>
            </c:strRef>
          </c:tx>
          <c:invertIfNegative val="0"/>
          <c:cat>
            <c:numRef>
              <c:f>'margine 2014'!$C$74:$I$74</c:f>
              <c:numCache>
                <c:formatCode>General</c:formatCode>
                <c:ptCount val="7"/>
                <c:pt idx="0">
                  <c:v>2008</c:v>
                </c:pt>
                <c:pt idx="1">
                  <c:v>2009</c:v>
                </c:pt>
                <c:pt idx="2">
                  <c:v>2010</c:v>
                </c:pt>
                <c:pt idx="3">
                  <c:v>2011</c:v>
                </c:pt>
                <c:pt idx="4">
                  <c:v>2012</c:v>
                </c:pt>
                <c:pt idx="5">
                  <c:v>2013</c:v>
                </c:pt>
                <c:pt idx="6">
                  <c:v>2014</c:v>
                </c:pt>
              </c:numCache>
            </c:numRef>
          </c:cat>
          <c:val>
            <c:numRef>
              <c:f>'margine 2014'!$C$77:$I$77</c:f>
              <c:numCache>
                <c:formatCode>#,##0</c:formatCode>
                <c:ptCount val="7"/>
                <c:pt idx="0">
                  <c:v>58348148.700000003</c:v>
                </c:pt>
                <c:pt idx="1">
                  <c:v>49970517.700000003</c:v>
                </c:pt>
                <c:pt idx="2">
                  <c:v>49478652.199999996</c:v>
                </c:pt>
                <c:pt idx="3">
                  <c:v>49918653.169999987</c:v>
                </c:pt>
                <c:pt idx="4">
                  <c:v>50069282.510000005</c:v>
                </c:pt>
                <c:pt idx="5">
                  <c:v>55299360.140000008</c:v>
                </c:pt>
                <c:pt idx="6">
                  <c:v>54645301.361800008</c:v>
                </c:pt>
              </c:numCache>
            </c:numRef>
          </c:val>
        </c:ser>
        <c:ser>
          <c:idx val="3"/>
          <c:order val="3"/>
          <c:tx>
            <c:strRef>
              <c:f>'margine 2014'!$A$78</c:f>
              <c:strCache>
                <c:ptCount val="1"/>
                <c:pt idx="0">
                  <c:v>Margine di Struttura</c:v>
                </c:pt>
              </c:strCache>
            </c:strRef>
          </c:tx>
          <c:invertIfNegative val="0"/>
          <c:cat>
            <c:numRef>
              <c:f>'margine 2014'!$C$74:$I$74</c:f>
              <c:numCache>
                <c:formatCode>General</c:formatCode>
                <c:ptCount val="7"/>
                <c:pt idx="0">
                  <c:v>2008</c:v>
                </c:pt>
                <c:pt idx="1">
                  <c:v>2009</c:v>
                </c:pt>
                <c:pt idx="2">
                  <c:v>2010</c:v>
                </c:pt>
                <c:pt idx="3">
                  <c:v>2011</c:v>
                </c:pt>
                <c:pt idx="4">
                  <c:v>2012</c:v>
                </c:pt>
                <c:pt idx="5">
                  <c:v>2013</c:v>
                </c:pt>
                <c:pt idx="6">
                  <c:v>2014</c:v>
                </c:pt>
              </c:numCache>
            </c:numRef>
          </c:cat>
          <c:val>
            <c:numRef>
              <c:f>'margine 2014'!$C$78:$I$78</c:f>
              <c:numCache>
                <c:formatCode>#,##0</c:formatCode>
                <c:ptCount val="7"/>
                <c:pt idx="0">
                  <c:v>46789240.709999979</c:v>
                </c:pt>
                <c:pt idx="1">
                  <c:v>58602069.189999998</c:v>
                </c:pt>
                <c:pt idx="2">
                  <c:v>58006879.460000001</c:v>
                </c:pt>
                <c:pt idx="3">
                  <c:v>59525723.170000002</c:v>
                </c:pt>
                <c:pt idx="4">
                  <c:v>67409191.219999984</c:v>
                </c:pt>
                <c:pt idx="5">
                  <c:v>49437221.879999973</c:v>
                </c:pt>
                <c:pt idx="6">
                  <c:v>33595235.658199973</c:v>
                </c:pt>
              </c:numCache>
            </c:numRef>
          </c:val>
        </c:ser>
        <c:dLbls>
          <c:showLegendKey val="0"/>
          <c:showVal val="0"/>
          <c:showCatName val="0"/>
          <c:showSerName val="0"/>
          <c:showPercent val="0"/>
          <c:showBubbleSize val="0"/>
        </c:dLbls>
        <c:gapWidth val="150"/>
        <c:axId val="136195456"/>
        <c:axId val="136201344"/>
      </c:barChart>
      <c:catAx>
        <c:axId val="136195456"/>
        <c:scaling>
          <c:orientation val="minMax"/>
        </c:scaling>
        <c:delete val="0"/>
        <c:axPos val="b"/>
        <c:numFmt formatCode="General" sourceLinked="1"/>
        <c:majorTickMark val="out"/>
        <c:minorTickMark val="none"/>
        <c:tickLblPos val="nextTo"/>
        <c:crossAx val="136201344"/>
        <c:crosses val="autoZero"/>
        <c:auto val="1"/>
        <c:lblAlgn val="ctr"/>
        <c:lblOffset val="100"/>
        <c:noMultiLvlLbl val="0"/>
      </c:catAx>
      <c:valAx>
        <c:axId val="136201344"/>
        <c:scaling>
          <c:orientation val="minMax"/>
        </c:scaling>
        <c:delete val="0"/>
        <c:axPos val="l"/>
        <c:majorGridlines/>
        <c:numFmt formatCode="#,##0" sourceLinked="1"/>
        <c:majorTickMark val="out"/>
        <c:minorTickMark val="none"/>
        <c:tickLblPos val="nextTo"/>
        <c:crossAx val="13619545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it-IT"/>
              <a:t>Variabilità dei ricavi negli anni</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7978447278473306"/>
          <c:y val="0.2404347885833667"/>
          <c:w val="0.61020918574554628"/>
          <c:h val="0.55220238831402557"/>
        </c:manualLayout>
      </c:layout>
      <c:bar3DChart>
        <c:barDir val="col"/>
        <c:grouping val="clustered"/>
        <c:varyColors val="0"/>
        <c:ser>
          <c:idx val="0"/>
          <c:order val="0"/>
          <c:invertIfNegative val="0"/>
          <c:cat>
            <c:numRef>
              <c:f>'cash flow'!$B$2:$J$2</c:f>
              <c:numCache>
                <c:formatCode>General</c:formatCode>
                <c:ptCount val="6"/>
                <c:pt idx="0">
                  <c:v>2009</c:v>
                </c:pt>
                <c:pt idx="1">
                  <c:v>2010</c:v>
                </c:pt>
                <c:pt idx="2">
                  <c:v>2011</c:v>
                </c:pt>
                <c:pt idx="3">
                  <c:v>2012</c:v>
                </c:pt>
                <c:pt idx="4">
                  <c:v>2013</c:v>
                </c:pt>
                <c:pt idx="5">
                  <c:v>2014</c:v>
                </c:pt>
              </c:numCache>
            </c:numRef>
          </c:cat>
          <c:val>
            <c:numRef>
              <c:f>'cash flow'!$B$9:$J$9</c:f>
              <c:numCache>
                <c:formatCode>_(* #,##0.00_);_(* \(#,##0.00\);_(* "-"??_);_(@_)</c:formatCode>
                <c:ptCount val="6"/>
                <c:pt idx="0">
                  <c:v>60900</c:v>
                </c:pt>
                <c:pt idx="1">
                  <c:v>63224.596809999995</c:v>
                </c:pt>
                <c:pt idx="2">
                  <c:v>61936.035379999994</c:v>
                </c:pt>
                <c:pt idx="3">
                  <c:v>63744.639640000001</c:v>
                </c:pt>
                <c:pt idx="4">
                  <c:v>63418.801869999996</c:v>
                </c:pt>
                <c:pt idx="5">
                  <c:v>59854.643639999995</c:v>
                </c:pt>
              </c:numCache>
            </c:numRef>
          </c:val>
        </c:ser>
        <c:dLbls>
          <c:showLegendKey val="0"/>
          <c:showVal val="0"/>
          <c:showCatName val="0"/>
          <c:showSerName val="0"/>
          <c:showPercent val="0"/>
          <c:showBubbleSize val="0"/>
        </c:dLbls>
        <c:gapWidth val="150"/>
        <c:shape val="box"/>
        <c:axId val="136225920"/>
        <c:axId val="136227456"/>
        <c:axId val="0"/>
      </c:bar3DChart>
      <c:catAx>
        <c:axId val="13622592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36227456"/>
        <c:crosses val="autoZero"/>
        <c:auto val="1"/>
        <c:lblAlgn val="ctr"/>
        <c:lblOffset val="100"/>
        <c:noMultiLvlLbl val="0"/>
      </c:catAx>
      <c:valAx>
        <c:axId val="136227456"/>
        <c:scaling>
          <c:orientation val="minMax"/>
        </c:scaling>
        <c:delete val="0"/>
        <c:axPos val="l"/>
        <c:majorGridlines>
          <c:spPr>
            <a:ln>
              <a:solidFill>
                <a:sysClr val="windowText" lastClr="000000">
                  <a:tint val="75000"/>
                  <a:shade val="95000"/>
                  <a:satMod val="105000"/>
                </a:sysClr>
              </a:solidFill>
            </a:ln>
          </c:spPr>
        </c:majorGridlines>
        <c:numFmt formatCode="_(* #,##0.00_);_(* \(#,##0.00\);_(* &quot;-&quot;??_);_(@_)" sourceLinked="1"/>
        <c:majorTickMark val="none"/>
        <c:minorTickMark val="none"/>
        <c:tickLblPos val="nextTo"/>
        <c:spPr>
          <a:noFill/>
        </c:spPr>
        <c:txPr>
          <a:bodyPr rot="0" vert="horz"/>
          <a:lstStyle/>
          <a:p>
            <a:pPr>
              <a:defRPr sz="1000" b="0" i="0" u="none" strike="noStrike" baseline="0">
                <a:solidFill>
                  <a:srgbClr val="000000"/>
                </a:solidFill>
                <a:latin typeface="Calibri"/>
                <a:ea typeface="Calibri"/>
                <a:cs typeface="Calibri"/>
              </a:defRPr>
            </a:pPr>
            <a:endParaRPr lang="it-IT"/>
          </a:p>
        </c:txPr>
        <c:crossAx val="136225920"/>
        <c:crosses val="autoZero"/>
        <c:crossBetween val="between"/>
        <c:majorUnit val="25000"/>
      </c:valAx>
      <c:spPr>
        <a:noFill/>
        <a:ln w="25400">
          <a:noFill/>
        </a:ln>
      </c:spPr>
    </c:plotArea>
    <c:plotVisOnly val="1"/>
    <c:dispBlanksAs val="gap"/>
    <c:showDLblsOverMax val="0"/>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5902944613675116"/>
          <c:y val="0.19717140295734642"/>
          <c:w val="0.69482341934981551"/>
          <c:h val="0.56387976194333733"/>
        </c:manualLayout>
      </c:layout>
      <c:bar3DChart>
        <c:barDir val="col"/>
        <c:grouping val="clustered"/>
        <c:varyColors val="0"/>
        <c:ser>
          <c:idx val="0"/>
          <c:order val="0"/>
          <c:invertIfNegative val="0"/>
          <c:cat>
            <c:numRef>
              <c:f>'cash flow'!$C$2:$J$2</c:f>
              <c:numCache>
                <c:formatCode>General</c:formatCode>
                <c:ptCount val="6"/>
                <c:pt idx="0">
                  <c:v>2009</c:v>
                </c:pt>
                <c:pt idx="1">
                  <c:v>2010</c:v>
                </c:pt>
                <c:pt idx="2">
                  <c:v>2011</c:v>
                </c:pt>
                <c:pt idx="3">
                  <c:v>2012</c:v>
                </c:pt>
                <c:pt idx="4">
                  <c:v>2013</c:v>
                </c:pt>
                <c:pt idx="5">
                  <c:v>2014</c:v>
                </c:pt>
              </c:numCache>
            </c:numRef>
          </c:cat>
          <c:val>
            <c:numRef>
              <c:f>'cash flow'!$C$16:$J$16</c:f>
              <c:numCache>
                <c:formatCode>_(* #,##0.00_);_(* \(#,##0.00\);_(* "-"??_);_(@_)</c:formatCode>
                <c:ptCount val="6"/>
                <c:pt idx="0">
                  <c:v>-57774</c:v>
                </c:pt>
                <c:pt idx="1">
                  <c:v>-66503.151249999995</c:v>
                </c:pt>
                <c:pt idx="2">
                  <c:v>-61252.548839999996</c:v>
                </c:pt>
                <c:pt idx="3">
                  <c:v>-64462.745909999998</c:v>
                </c:pt>
                <c:pt idx="4">
                  <c:v>-75618.796419999999</c:v>
                </c:pt>
                <c:pt idx="5">
                  <c:v>-78355.883000000002</c:v>
                </c:pt>
              </c:numCache>
            </c:numRef>
          </c:val>
        </c:ser>
        <c:dLbls>
          <c:showLegendKey val="0"/>
          <c:showVal val="0"/>
          <c:showCatName val="0"/>
          <c:showSerName val="0"/>
          <c:showPercent val="0"/>
          <c:showBubbleSize val="0"/>
        </c:dLbls>
        <c:gapWidth val="150"/>
        <c:shape val="box"/>
        <c:axId val="137300608"/>
        <c:axId val="137318784"/>
        <c:axId val="0"/>
      </c:bar3DChart>
      <c:catAx>
        <c:axId val="137300608"/>
        <c:scaling>
          <c:orientation val="minMax"/>
        </c:scaling>
        <c:delete val="0"/>
        <c:axPos val="t"/>
        <c:numFmt formatCode="General" sourceLinked="1"/>
        <c:majorTickMark val="out"/>
        <c:minorTickMark val="none"/>
        <c:tickLblPos val="high"/>
        <c:txPr>
          <a:bodyPr rot="0" vert="horz"/>
          <a:lstStyle/>
          <a:p>
            <a:pPr>
              <a:defRPr sz="1000" b="0" i="0" u="none" strike="noStrike" baseline="0">
                <a:solidFill>
                  <a:srgbClr val="000000"/>
                </a:solidFill>
                <a:latin typeface="Calibri"/>
                <a:ea typeface="Calibri"/>
                <a:cs typeface="Calibri"/>
              </a:defRPr>
            </a:pPr>
            <a:endParaRPr lang="it-IT"/>
          </a:p>
        </c:txPr>
        <c:crossAx val="137318784"/>
        <c:crosses val="autoZero"/>
        <c:auto val="1"/>
        <c:lblAlgn val="ctr"/>
        <c:lblOffset val="0"/>
        <c:noMultiLvlLbl val="0"/>
      </c:catAx>
      <c:valAx>
        <c:axId val="137318784"/>
        <c:scaling>
          <c:orientation val="maxMin"/>
        </c:scaling>
        <c:delete val="0"/>
        <c:axPos val="l"/>
        <c:majorGridlines>
          <c:spPr>
            <a:ln>
              <a:solidFill>
                <a:sysClr val="windowText" lastClr="000000">
                  <a:tint val="75000"/>
                  <a:shade val="95000"/>
                  <a:satMod val="105000"/>
                </a:sysClr>
              </a:solidFill>
            </a:ln>
          </c:spPr>
        </c:majorGridlines>
        <c:numFmt formatCode="_(* #,##0.00_);_(* \(#,##0.00\);_(* &quot;-&quot;??_);_(@_)" sourceLinked="1"/>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it-IT"/>
          </a:p>
        </c:txPr>
        <c:crossAx val="137300608"/>
        <c:crosses val="autoZero"/>
        <c:crossBetween val="between"/>
        <c:majorUnit val="20000"/>
      </c:valAx>
      <c:spPr>
        <a:noFill/>
        <a:ln w="25400">
          <a:noFill/>
        </a:ln>
      </c:spPr>
    </c:plotArea>
    <c:plotVisOnly val="1"/>
    <c:dispBlanksAs val="gap"/>
    <c:showDLblsOverMax val="0"/>
  </c:chart>
  <c:spPr>
    <a:noFill/>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0.23542</cdr:x>
      <cdr:y>0.02431</cdr:y>
    </cdr:from>
    <cdr:to>
      <cdr:x>0.82979</cdr:x>
      <cdr:y>0.16592</cdr:y>
    </cdr:to>
    <cdr:sp macro="" textlink="">
      <cdr:nvSpPr>
        <cdr:cNvPr id="2" name="CasellaDiTesto 1"/>
        <cdr:cNvSpPr txBox="1"/>
      </cdr:nvSpPr>
      <cdr:spPr>
        <a:xfrm xmlns:a="http://schemas.openxmlformats.org/drawingml/2006/main">
          <a:off x="1053916" y="51636"/>
          <a:ext cx="2660834" cy="300791"/>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IMMATERIALI NETTE</a:t>
          </a:r>
          <a:endParaRPr lang="it-IT" sz="1100" b="1"/>
        </a:p>
      </cdr:txBody>
    </cdr:sp>
  </cdr:relSizeAnchor>
  <cdr:relSizeAnchor xmlns:cdr="http://schemas.openxmlformats.org/drawingml/2006/chartDrawing">
    <cdr:from>
      <cdr:x>0.23542</cdr:x>
      <cdr:y>0.02431</cdr:y>
    </cdr:from>
    <cdr:to>
      <cdr:x>0.82979</cdr:x>
      <cdr:y>0.16592</cdr:y>
    </cdr:to>
    <cdr:sp macro="" textlink="">
      <cdr:nvSpPr>
        <cdr:cNvPr id="3" name="CasellaDiTesto 1"/>
        <cdr:cNvSpPr txBox="1"/>
      </cdr:nvSpPr>
      <cdr:spPr>
        <a:xfrm xmlns:a="http://schemas.openxmlformats.org/drawingml/2006/main">
          <a:off x="1053916" y="51636"/>
          <a:ext cx="2660834" cy="300791"/>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IMMATERIALI NETTE</a:t>
          </a:r>
          <a:endParaRPr lang="it-IT" sz="1100" b="1"/>
        </a:p>
      </cdr:txBody>
    </cdr:sp>
  </cdr:relSizeAnchor>
</c:userShapes>
</file>

<file path=word/drawings/drawing10.xml><?xml version="1.0" encoding="utf-8"?>
<c:userShapes xmlns:c="http://schemas.openxmlformats.org/drawingml/2006/chart">
  <cdr:relSizeAnchor xmlns:cdr="http://schemas.openxmlformats.org/drawingml/2006/chartDrawing">
    <cdr:from>
      <cdr:x>0.36908</cdr:x>
      <cdr:y>0.01245</cdr:y>
    </cdr:from>
    <cdr:to>
      <cdr:x>0.75561</cdr:x>
      <cdr:y>0.15353</cdr:y>
    </cdr:to>
    <cdr:sp macro="" textlink="">
      <cdr:nvSpPr>
        <cdr:cNvPr id="2" name="CasellaDiTesto 1"/>
        <cdr:cNvSpPr txBox="1"/>
      </cdr:nvSpPr>
      <cdr:spPr>
        <a:xfrm xmlns:a="http://schemas.openxmlformats.org/drawingml/2006/main">
          <a:off x="1409699" y="23954"/>
          <a:ext cx="1476375"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FLUSSO DI</a:t>
          </a:r>
          <a:r>
            <a:rPr lang="it-IT" sz="1100" b="1" baseline="0"/>
            <a:t> CASSA</a:t>
          </a:r>
          <a:endParaRPr lang="it-IT" sz="1100" b="1"/>
        </a:p>
      </cdr:txBody>
    </cdr:sp>
  </cdr:relSizeAnchor>
</c:userShapes>
</file>

<file path=word/drawings/drawing11.xml><?xml version="1.0" encoding="utf-8"?>
<c:userShapes xmlns:c="http://schemas.openxmlformats.org/drawingml/2006/chart">
  <cdr:relSizeAnchor xmlns:cdr="http://schemas.openxmlformats.org/drawingml/2006/chartDrawing">
    <cdr:from>
      <cdr:x>0.2793</cdr:x>
      <cdr:y>0.01245</cdr:y>
    </cdr:from>
    <cdr:to>
      <cdr:x>0.76808</cdr:x>
      <cdr:y>0.15353</cdr:y>
    </cdr:to>
    <cdr:sp macro="" textlink="">
      <cdr:nvSpPr>
        <cdr:cNvPr id="2" name="CasellaDiTesto 1"/>
        <cdr:cNvSpPr txBox="1"/>
      </cdr:nvSpPr>
      <cdr:spPr>
        <a:xfrm xmlns:a="http://schemas.openxmlformats.org/drawingml/2006/main">
          <a:off x="1066800" y="23954"/>
          <a:ext cx="1866899"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baseline="0"/>
            <a:t>VARIAZIONE DI CASSA </a:t>
          </a:r>
          <a:endParaRPr lang="it-IT"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0.13034</cdr:x>
      <cdr:y>0.02431</cdr:y>
    </cdr:from>
    <cdr:to>
      <cdr:x>0.78958</cdr:x>
      <cdr:y>0.20139</cdr:y>
    </cdr:to>
    <cdr:sp macro="" textlink="">
      <cdr:nvSpPr>
        <cdr:cNvPr id="2" name="CasellaDiTesto 1"/>
        <cdr:cNvSpPr txBox="1"/>
      </cdr:nvSpPr>
      <cdr:spPr>
        <a:xfrm xmlns:a="http://schemas.openxmlformats.org/drawingml/2006/main">
          <a:off x="581026" y="66919"/>
          <a:ext cx="2938686" cy="48745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MATERIALI NETTE</a:t>
          </a:r>
          <a:endParaRPr lang="it-IT" sz="1100" b="1"/>
        </a:p>
      </cdr:txBody>
    </cdr:sp>
  </cdr:relSizeAnchor>
  <cdr:relSizeAnchor xmlns:cdr="http://schemas.openxmlformats.org/drawingml/2006/chartDrawing">
    <cdr:from>
      <cdr:x>0.13034</cdr:x>
      <cdr:y>0.02431</cdr:y>
    </cdr:from>
    <cdr:to>
      <cdr:x>0.78958</cdr:x>
      <cdr:y>0.20139</cdr:y>
    </cdr:to>
    <cdr:sp macro="" textlink="">
      <cdr:nvSpPr>
        <cdr:cNvPr id="3" name="CasellaDiTesto 1"/>
        <cdr:cNvSpPr txBox="1"/>
      </cdr:nvSpPr>
      <cdr:spPr>
        <a:xfrm xmlns:a="http://schemas.openxmlformats.org/drawingml/2006/main">
          <a:off x="581026" y="66919"/>
          <a:ext cx="2938686" cy="48745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MATERIALI NETTE</a:t>
          </a:r>
          <a:endParaRPr lang="it-IT"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0.13034</cdr:x>
      <cdr:y>0.02431</cdr:y>
    </cdr:from>
    <cdr:to>
      <cdr:x>0.78958</cdr:x>
      <cdr:y>0.20139</cdr:y>
    </cdr:to>
    <cdr:sp macro="" textlink="">
      <cdr:nvSpPr>
        <cdr:cNvPr id="2" name="CasellaDiTesto 1"/>
        <cdr:cNvSpPr txBox="1"/>
      </cdr:nvSpPr>
      <cdr:spPr>
        <a:xfrm xmlns:a="http://schemas.openxmlformats.org/drawingml/2006/main">
          <a:off x="581026" y="66919"/>
          <a:ext cx="2938686" cy="48745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FINANZIARIE</a:t>
          </a:r>
          <a:endParaRPr lang="it-IT" sz="1100" b="1"/>
        </a:p>
      </cdr:txBody>
    </cdr:sp>
  </cdr:relSizeAnchor>
</c:userShapes>
</file>

<file path=word/drawings/drawing4.xml><?xml version="1.0" encoding="utf-8"?>
<c:userShapes xmlns:c="http://schemas.openxmlformats.org/drawingml/2006/chart">
  <cdr:relSizeAnchor xmlns:cdr="http://schemas.openxmlformats.org/drawingml/2006/chartDrawing">
    <cdr:from>
      <cdr:x>0.35</cdr:x>
      <cdr:y>0.05532</cdr:y>
    </cdr:from>
    <cdr:to>
      <cdr:x>0.68333</cdr:x>
      <cdr:y>0.17612</cdr:y>
    </cdr:to>
    <cdr:sp macro="" textlink="">
      <cdr:nvSpPr>
        <cdr:cNvPr id="2" name="CasellaDiTesto 1"/>
        <cdr:cNvSpPr txBox="1"/>
      </cdr:nvSpPr>
      <cdr:spPr>
        <a:xfrm xmlns:a="http://schemas.openxmlformats.org/drawingml/2006/main">
          <a:off x="1600199" y="152400"/>
          <a:ext cx="1524001"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ATTIVO</a:t>
          </a:r>
          <a:r>
            <a:rPr lang="it-IT" sz="1100" b="1" baseline="0"/>
            <a:t> FISSO NETTO</a:t>
          </a:r>
          <a:endParaRPr lang="it-IT" sz="1100" b="1"/>
        </a:p>
      </cdr:txBody>
    </cdr:sp>
  </cdr:relSizeAnchor>
</c:userShapes>
</file>

<file path=word/drawings/drawing5.xml><?xml version="1.0" encoding="utf-8"?>
<c:userShapes xmlns:c="http://schemas.openxmlformats.org/drawingml/2006/chart">
  <cdr:relSizeAnchor xmlns:cdr="http://schemas.openxmlformats.org/drawingml/2006/chartDrawing">
    <cdr:from>
      <cdr:x>0.30833</cdr:x>
      <cdr:y>0.05556</cdr:y>
    </cdr:from>
    <cdr:to>
      <cdr:x>0.75</cdr:x>
      <cdr:y>0.17708</cdr:y>
    </cdr:to>
    <cdr:sp macro="" textlink="">
      <cdr:nvSpPr>
        <cdr:cNvPr id="2" name="CasellaDiTesto 1"/>
        <cdr:cNvSpPr txBox="1"/>
      </cdr:nvSpPr>
      <cdr:spPr>
        <a:xfrm xmlns:a="http://schemas.openxmlformats.org/drawingml/2006/main">
          <a:off x="1409700" y="152399"/>
          <a:ext cx="2019299"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it-IT" sz="1100" b="1" baseline="0">
              <a:latin typeface="Calibri" pitchFamily="34" charset="0"/>
            </a:rPr>
            <a:t>PASSIVO CONSOLIDATO</a:t>
          </a:r>
        </a:p>
      </cdr:txBody>
    </cdr:sp>
  </cdr:relSizeAnchor>
  <cdr:relSizeAnchor xmlns:cdr="http://schemas.openxmlformats.org/drawingml/2006/chartDrawing">
    <cdr:from>
      <cdr:x>0.30833</cdr:x>
      <cdr:y>0.05556</cdr:y>
    </cdr:from>
    <cdr:to>
      <cdr:x>0.75</cdr:x>
      <cdr:y>0.17708</cdr:y>
    </cdr:to>
    <cdr:sp macro="" textlink="">
      <cdr:nvSpPr>
        <cdr:cNvPr id="3" name="CasellaDiTesto 1"/>
        <cdr:cNvSpPr txBox="1"/>
      </cdr:nvSpPr>
      <cdr:spPr>
        <a:xfrm xmlns:a="http://schemas.openxmlformats.org/drawingml/2006/main">
          <a:off x="1409700" y="152399"/>
          <a:ext cx="2019299"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it-IT" sz="1100" b="1" baseline="0">
              <a:latin typeface="Calibri" pitchFamily="34" charset="0"/>
            </a:rPr>
            <a:t>PASSIVO CONSOLIDATO</a:t>
          </a:r>
        </a:p>
      </cdr:txBody>
    </cdr:sp>
  </cdr:relSizeAnchor>
</c:userShapes>
</file>

<file path=word/drawings/drawing6.xml><?xml version="1.0" encoding="utf-8"?>
<c:userShapes xmlns:c="http://schemas.openxmlformats.org/drawingml/2006/chart">
  <cdr:relSizeAnchor xmlns:cdr="http://schemas.openxmlformats.org/drawingml/2006/chartDrawing">
    <cdr:from>
      <cdr:x>0.26034</cdr:x>
      <cdr:y>0.02326</cdr:y>
    </cdr:from>
    <cdr:to>
      <cdr:x>0.82968</cdr:x>
      <cdr:y>0.17209</cdr:y>
    </cdr:to>
    <cdr:sp macro="" textlink="">
      <cdr:nvSpPr>
        <cdr:cNvPr id="3" name="CasellaDiTesto 2"/>
        <cdr:cNvSpPr txBox="1"/>
      </cdr:nvSpPr>
      <cdr:spPr>
        <a:xfrm xmlns:a="http://schemas.openxmlformats.org/drawingml/2006/main">
          <a:off x="1019175" y="47625"/>
          <a:ext cx="222885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Variabilità Dei Costi Operativi</a:t>
          </a:r>
        </a:p>
      </cdr:txBody>
    </cdr:sp>
  </cdr:relSizeAnchor>
</c:userShapes>
</file>

<file path=word/drawings/drawing7.xml><?xml version="1.0" encoding="utf-8"?>
<c:userShapes xmlns:c="http://schemas.openxmlformats.org/drawingml/2006/chart">
  <cdr:relSizeAnchor xmlns:cdr="http://schemas.openxmlformats.org/drawingml/2006/chartDrawing">
    <cdr:from>
      <cdr:x>0.12183</cdr:x>
      <cdr:y>0.01221</cdr:y>
    </cdr:from>
    <cdr:to>
      <cdr:x>0.90355</cdr:x>
      <cdr:y>0.15613</cdr:y>
    </cdr:to>
    <cdr:sp macro="" textlink="">
      <cdr:nvSpPr>
        <cdr:cNvPr id="2" name="CasellaDiTesto 1"/>
        <cdr:cNvSpPr txBox="1"/>
      </cdr:nvSpPr>
      <cdr:spPr>
        <a:xfrm xmlns:a="http://schemas.openxmlformats.org/drawingml/2006/main">
          <a:off x="457200" y="23951"/>
          <a:ext cx="2933700" cy="2714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Margine Operativo Lordo Negli</a:t>
          </a:r>
          <a:r>
            <a:rPr lang="it-IT" sz="1400" b="1" baseline="0"/>
            <a:t> Anni</a:t>
          </a:r>
          <a:endParaRPr lang="it-IT" sz="1400" b="1"/>
        </a:p>
      </cdr:txBody>
    </cdr:sp>
  </cdr:relSizeAnchor>
  <cdr:relSizeAnchor xmlns:cdr="http://schemas.openxmlformats.org/drawingml/2006/chartDrawing">
    <cdr:from>
      <cdr:x>0.12183</cdr:x>
      <cdr:y>0.01221</cdr:y>
    </cdr:from>
    <cdr:to>
      <cdr:x>0.90355</cdr:x>
      <cdr:y>0.15613</cdr:y>
    </cdr:to>
    <cdr:sp macro="" textlink="">
      <cdr:nvSpPr>
        <cdr:cNvPr id="3" name="CasellaDiTesto 1"/>
        <cdr:cNvSpPr txBox="1"/>
      </cdr:nvSpPr>
      <cdr:spPr>
        <a:xfrm xmlns:a="http://schemas.openxmlformats.org/drawingml/2006/main">
          <a:off x="457200" y="23951"/>
          <a:ext cx="2933700" cy="2714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Margine Operativo Lordo Negli</a:t>
          </a:r>
          <a:r>
            <a:rPr lang="it-IT" sz="1400" b="1" baseline="0"/>
            <a:t> Anni</a:t>
          </a:r>
          <a:endParaRPr lang="it-IT" sz="1400" b="1"/>
        </a:p>
      </cdr:txBody>
    </cdr:sp>
  </cdr:relSizeAnchor>
</c:userShapes>
</file>

<file path=word/drawings/drawing8.xml><?xml version="1.0" encoding="utf-8"?>
<c:userShapes xmlns:c="http://schemas.openxmlformats.org/drawingml/2006/chart">
  <cdr:relSizeAnchor xmlns:cdr="http://schemas.openxmlformats.org/drawingml/2006/chartDrawing">
    <cdr:from>
      <cdr:x>0.32897</cdr:x>
      <cdr:y>0.02326</cdr:y>
    </cdr:from>
    <cdr:to>
      <cdr:x>0.80941</cdr:x>
      <cdr:y>0.16995</cdr:y>
    </cdr:to>
    <cdr:sp macro="" textlink="">
      <cdr:nvSpPr>
        <cdr:cNvPr id="3" name="CasellaDiTesto 2"/>
        <cdr:cNvSpPr txBox="1"/>
      </cdr:nvSpPr>
      <cdr:spPr>
        <a:xfrm xmlns:a="http://schemas.openxmlformats.org/drawingml/2006/main">
          <a:off x="1266825" y="43646"/>
          <a:ext cx="1847850" cy="2792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Debiti</a:t>
          </a:r>
          <a:r>
            <a:rPr lang="it-IT" sz="1100" b="1" baseline="0"/>
            <a:t> di funzionamento</a:t>
          </a:r>
          <a:endParaRPr lang="it-IT" sz="1100" b="1"/>
        </a:p>
      </cdr:txBody>
    </cdr:sp>
  </cdr:relSizeAnchor>
  <cdr:relSizeAnchor xmlns:cdr="http://schemas.openxmlformats.org/drawingml/2006/chartDrawing">
    <cdr:from>
      <cdr:x>0.32897</cdr:x>
      <cdr:y>0.02326</cdr:y>
    </cdr:from>
    <cdr:to>
      <cdr:x>0.80941</cdr:x>
      <cdr:y>0.16995</cdr:y>
    </cdr:to>
    <cdr:sp macro="" textlink="">
      <cdr:nvSpPr>
        <cdr:cNvPr id="2" name="CasellaDiTesto 2"/>
        <cdr:cNvSpPr txBox="1"/>
      </cdr:nvSpPr>
      <cdr:spPr>
        <a:xfrm xmlns:a="http://schemas.openxmlformats.org/drawingml/2006/main">
          <a:off x="1266825" y="43646"/>
          <a:ext cx="1847850" cy="2792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Debiti</a:t>
          </a:r>
          <a:r>
            <a:rPr lang="it-IT" sz="1100" b="1" baseline="0"/>
            <a:t> di funzionamento</a:t>
          </a:r>
          <a:endParaRPr lang="it-IT" sz="1100" b="1"/>
        </a:p>
      </cdr:txBody>
    </cdr:sp>
  </cdr:relSizeAnchor>
  <cdr:relSizeAnchor xmlns:cdr="http://schemas.openxmlformats.org/drawingml/2006/chartDrawing">
    <cdr:from>
      <cdr:x>0.32897</cdr:x>
      <cdr:y>0.02326</cdr:y>
    </cdr:from>
    <cdr:to>
      <cdr:x>0.80941</cdr:x>
      <cdr:y>0.16995</cdr:y>
    </cdr:to>
    <cdr:sp macro="" textlink="">
      <cdr:nvSpPr>
        <cdr:cNvPr id="4" name="CasellaDiTesto 2"/>
        <cdr:cNvSpPr txBox="1"/>
      </cdr:nvSpPr>
      <cdr:spPr>
        <a:xfrm xmlns:a="http://schemas.openxmlformats.org/drawingml/2006/main">
          <a:off x="1266825" y="43646"/>
          <a:ext cx="1847850" cy="2792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Debiti</a:t>
          </a:r>
          <a:r>
            <a:rPr lang="it-IT" sz="1100" b="1" baseline="0"/>
            <a:t> di funzionamento</a:t>
          </a:r>
          <a:endParaRPr lang="it-IT" sz="1100" b="1"/>
        </a:p>
      </cdr:txBody>
    </cdr:sp>
  </cdr:relSizeAnchor>
</c:userShapes>
</file>

<file path=word/drawings/drawing9.xml><?xml version="1.0" encoding="utf-8"?>
<c:userShapes xmlns:c="http://schemas.openxmlformats.org/drawingml/2006/chart">
  <cdr:relSizeAnchor xmlns:cdr="http://schemas.openxmlformats.org/drawingml/2006/chartDrawing">
    <cdr:from>
      <cdr:x>0.2818</cdr:x>
      <cdr:y>0.01221</cdr:y>
    </cdr:from>
    <cdr:to>
      <cdr:x>0.82045</cdr:x>
      <cdr:y>0.15613</cdr:y>
    </cdr:to>
    <cdr:sp macro="" textlink="">
      <cdr:nvSpPr>
        <cdr:cNvPr id="2" name="CasellaDiTesto 1"/>
        <cdr:cNvSpPr txBox="1"/>
      </cdr:nvSpPr>
      <cdr:spPr>
        <a:xfrm xmlns:a="http://schemas.openxmlformats.org/drawingml/2006/main">
          <a:off x="1076325" y="23954"/>
          <a:ext cx="2057400"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Utile Netto a</a:t>
          </a:r>
          <a:r>
            <a:rPr lang="it-IT" sz="1400" b="1" baseline="0"/>
            <a:t> Confronto</a:t>
          </a:r>
          <a:endParaRPr lang="it-IT" sz="1400" b="1"/>
        </a:p>
      </cdr:txBody>
    </cdr:sp>
  </cdr:relSizeAnchor>
  <cdr:relSizeAnchor xmlns:cdr="http://schemas.openxmlformats.org/drawingml/2006/chartDrawing">
    <cdr:from>
      <cdr:x>0.2818</cdr:x>
      <cdr:y>0.01221</cdr:y>
    </cdr:from>
    <cdr:to>
      <cdr:x>0.82045</cdr:x>
      <cdr:y>0.15613</cdr:y>
    </cdr:to>
    <cdr:sp macro="" textlink="">
      <cdr:nvSpPr>
        <cdr:cNvPr id="3" name="CasellaDiTesto 1"/>
        <cdr:cNvSpPr txBox="1"/>
      </cdr:nvSpPr>
      <cdr:spPr>
        <a:xfrm xmlns:a="http://schemas.openxmlformats.org/drawingml/2006/main">
          <a:off x="1076325" y="23954"/>
          <a:ext cx="2057400"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Utile Netto a</a:t>
          </a:r>
          <a:r>
            <a:rPr lang="it-IT" sz="1400" b="1" baseline="0"/>
            <a:t> Confronto</a:t>
          </a:r>
          <a:endParaRPr lang="it-IT" sz="1400" b="1"/>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30FD-CA95-4C9F-B186-8E830044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3416</Words>
  <Characters>19475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 di Commercio di Napoli</dc:creator>
  <cp:keywords/>
  <dc:description/>
  <cp:lastModifiedBy>Immacolata Avellino</cp:lastModifiedBy>
  <cp:revision>37</cp:revision>
  <cp:lastPrinted>2013-12-23T15:11:00Z</cp:lastPrinted>
  <dcterms:created xsi:type="dcterms:W3CDTF">2012-12-07T13:26:00Z</dcterms:created>
  <dcterms:modified xsi:type="dcterms:W3CDTF">2013-12-23T17:48:00Z</dcterms:modified>
</cp:coreProperties>
</file>